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24DB28">
      <w:pPr>
        <w:spacing w:line="360" w:lineRule="auto"/>
        <w:jc w:val="center"/>
        <w:rPr>
          <w:rFonts w:eastAsia="方正小标宋简体"/>
          <w:sz w:val="48"/>
          <w:szCs w:val="48"/>
        </w:rPr>
      </w:pPr>
    </w:p>
    <w:p w14:paraId="45F88019">
      <w:pPr>
        <w:spacing w:line="360" w:lineRule="auto"/>
        <w:jc w:val="center"/>
        <w:rPr>
          <w:rFonts w:eastAsia="方正小标宋简体"/>
          <w:sz w:val="48"/>
          <w:szCs w:val="48"/>
        </w:rPr>
      </w:pPr>
    </w:p>
    <w:p w14:paraId="69570E81">
      <w:pPr>
        <w:spacing w:line="360" w:lineRule="auto"/>
        <w:jc w:val="center"/>
        <w:rPr>
          <w:rFonts w:eastAsia="方正小标宋简体"/>
          <w:sz w:val="48"/>
          <w:szCs w:val="48"/>
        </w:rPr>
      </w:pPr>
    </w:p>
    <w:p w14:paraId="4BD45962">
      <w:pPr>
        <w:spacing w:line="360" w:lineRule="auto"/>
        <w:jc w:val="center"/>
        <w:rPr>
          <w:rFonts w:eastAsia="方正小标宋简体"/>
          <w:sz w:val="44"/>
          <w:szCs w:val="44"/>
        </w:rPr>
      </w:pPr>
      <w:r>
        <w:rPr>
          <w:rFonts w:eastAsia="方正小标宋简体"/>
          <w:sz w:val="44"/>
          <w:szCs w:val="44"/>
        </w:rPr>
        <w:t>《单位能耗限额统计范围和计算方法》</w:t>
      </w:r>
    </w:p>
    <w:p w14:paraId="45A1AB14">
      <w:pPr>
        <w:spacing w:line="560" w:lineRule="exact"/>
        <w:rPr>
          <w:rFonts w:eastAsia="方正小标宋简体"/>
          <w:sz w:val="44"/>
          <w:szCs w:val="44"/>
        </w:rPr>
      </w:pPr>
    </w:p>
    <w:p w14:paraId="662D037E">
      <w:pPr>
        <w:spacing w:line="560" w:lineRule="exact"/>
        <w:jc w:val="center"/>
        <w:rPr>
          <w:rFonts w:eastAsia="方正小标宋简体"/>
          <w:sz w:val="44"/>
          <w:szCs w:val="44"/>
        </w:rPr>
      </w:pPr>
      <w:r>
        <w:rPr>
          <w:rFonts w:hint="eastAsia" w:eastAsia="方正小标宋简体"/>
          <w:sz w:val="44"/>
          <w:szCs w:val="44"/>
        </w:rPr>
        <w:t>编制</w:t>
      </w:r>
      <w:r>
        <w:rPr>
          <w:rFonts w:eastAsia="方正小标宋简体"/>
          <w:sz w:val="44"/>
          <w:szCs w:val="44"/>
        </w:rPr>
        <w:t>说明</w:t>
      </w:r>
    </w:p>
    <w:p w14:paraId="67EBE1D2">
      <w:pPr>
        <w:spacing w:line="560" w:lineRule="exact"/>
        <w:jc w:val="center"/>
        <w:rPr>
          <w:rFonts w:eastAsia="方正小标宋简体"/>
          <w:sz w:val="44"/>
          <w:szCs w:val="44"/>
        </w:rPr>
      </w:pPr>
    </w:p>
    <w:p w14:paraId="5F432874">
      <w:pPr>
        <w:spacing w:line="560" w:lineRule="exact"/>
        <w:jc w:val="center"/>
        <w:rPr>
          <w:rFonts w:eastAsia="方正小标宋简体"/>
          <w:sz w:val="44"/>
          <w:szCs w:val="44"/>
        </w:rPr>
      </w:pPr>
    </w:p>
    <w:p w14:paraId="2E73CAF3">
      <w:pPr>
        <w:spacing w:line="560" w:lineRule="exact"/>
        <w:jc w:val="center"/>
        <w:rPr>
          <w:rFonts w:eastAsia="方正小标宋简体"/>
          <w:sz w:val="44"/>
          <w:szCs w:val="44"/>
        </w:rPr>
      </w:pPr>
    </w:p>
    <w:p w14:paraId="2B3D99D4">
      <w:pPr>
        <w:spacing w:line="560" w:lineRule="exact"/>
        <w:rPr>
          <w:rFonts w:eastAsia="方正小标宋简体"/>
          <w:sz w:val="44"/>
          <w:szCs w:val="44"/>
        </w:rPr>
      </w:pPr>
    </w:p>
    <w:p w14:paraId="754333C7">
      <w:pPr>
        <w:spacing w:line="560" w:lineRule="exact"/>
        <w:jc w:val="center"/>
        <w:rPr>
          <w:rFonts w:eastAsia="方正小标宋简体"/>
          <w:sz w:val="44"/>
          <w:szCs w:val="44"/>
        </w:rPr>
      </w:pPr>
    </w:p>
    <w:p w14:paraId="2E264A5C">
      <w:pPr>
        <w:spacing w:line="560" w:lineRule="exact"/>
        <w:jc w:val="center"/>
        <w:rPr>
          <w:rFonts w:eastAsia="方正小标宋简体"/>
          <w:sz w:val="44"/>
          <w:szCs w:val="44"/>
        </w:rPr>
      </w:pPr>
    </w:p>
    <w:p w14:paraId="0DFF8903">
      <w:pPr>
        <w:spacing w:line="560" w:lineRule="exact"/>
        <w:jc w:val="center"/>
        <w:rPr>
          <w:rFonts w:eastAsia="方正小标宋简体"/>
          <w:sz w:val="44"/>
          <w:szCs w:val="44"/>
        </w:rPr>
      </w:pPr>
    </w:p>
    <w:p w14:paraId="1F37E68C">
      <w:pPr>
        <w:spacing w:line="560" w:lineRule="exact"/>
        <w:rPr>
          <w:rFonts w:eastAsia="方正小标宋简体"/>
          <w:sz w:val="44"/>
          <w:szCs w:val="44"/>
        </w:rPr>
      </w:pPr>
    </w:p>
    <w:p w14:paraId="3E945403">
      <w:pPr>
        <w:spacing w:line="560" w:lineRule="exact"/>
        <w:jc w:val="center"/>
        <w:rPr>
          <w:rFonts w:eastAsia="方正小标宋简体"/>
          <w:sz w:val="44"/>
          <w:szCs w:val="44"/>
        </w:rPr>
      </w:pPr>
    </w:p>
    <w:p w14:paraId="5B67D80C">
      <w:pPr>
        <w:spacing w:line="560" w:lineRule="exact"/>
        <w:jc w:val="center"/>
        <w:rPr>
          <w:rFonts w:eastAsia="方正小标宋简体"/>
          <w:sz w:val="44"/>
          <w:szCs w:val="44"/>
        </w:rPr>
      </w:pPr>
    </w:p>
    <w:p w14:paraId="39D81FD9">
      <w:pPr>
        <w:spacing w:line="560" w:lineRule="exact"/>
        <w:jc w:val="center"/>
        <w:rPr>
          <w:rFonts w:ascii="方正小标宋简体" w:eastAsia="方正小标宋简体"/>
          <w:sz w:val="32"/>
          <w:szCs w:val="32"/>
        </w:rPr>
      </w:pPr>
      <w:r>
        <w:rPr>
          <w:rFonts w:hint="eastAsia" w:ascii="方正小标宋简体" w:eastAsia="方正小标宋简体"/>
          <w:sz w:val="32"/>
          <w:szCs w:val="32"/>
        </w:rPr>
        <w:t>《单位能耗限额统计范围和计算方法》编制组</w:t>
      </w:r>
    </w:p>
    <w:p w14:paraId="334A995B">
      <w:pPr>
        <w:spacing w:line="560" w:lineRule="exact"/>
        <w:jc w:val="center"/>
        <w:rPr>
          <w:rFonts w:ascii="方正小标宋简体" w:eastAsia="方正小标宋简体"/>
          <w:sz w:val="32"/>
          <w:szCs w:val="32"/>
        </w:rPr>
      </w:pPr>
      <w:r>
        <w:rPr>
          <w:rFonts w:hint="eastAsia" w:ascii="方正小标宋简体" w:eastAsia="方正小标宋简体"/>
          <w:sz w:val="32"/>
          <w:szCs w:val="32"/>
        </w:rPr>
        <w:t>2024年8月</w:t>
      </w:r>
    </w:p>
    <w:p w14:paraId="17792152">
      <w:pPr>
        <w:spacing w:line="560" w:lineRule="exact"/>
        <w:jc w:val="center"/>
        <w:rPr>
          <w:rFonts w:ascii="方正小标宋简体" w:eastAsia="方正小标宋简体"/>
          <w:sz w:val="44"/>
          <w:szCs w:val="44"/>
        </w:rPr>
        <w:sectPr>
          <w:headerReference r:id="rId5" w:type="default"/>
          <w:footerReference r:id="rId6" w:type="default"/>
          <w:footerReference r:id="rId7" w:type="even"/>
          <w:pgSz w:w="11906" w:h="16838"/>
          <w:pgMar w:top="2098" w:right="1588" w:bottom="1814" w:left="1588" w:header="851" w:footer="1418" w:gutter="0"/>
          <w:pgNumType w:start="1"/>
          <w:cols w:space="720" w:num="1"/>
          <w:docGrid w:type="lines" w:linePitch="312" w:charSpace="0"/>
        </w:sectPr>
      </w:pPr>
    </w:p>
    <w:p w14:paraId="5F958F0E">
      <w:pPr>
        <w:spacing w:after="156" w:afterLines="50" w:line="360" w:lineRule="auto"/>
        <w:jc w:val="center"/>
        <w:rPr>
          <w:rFonts w:eastAsia="黑体"/>
          <w:spacing w:val="5"/>
          <w:sz w:val="32"/>
          <w:szCs w:val="32"/>
        </w:rPr>
      </w:pPr>
      <w:r>
        <w:rPr>
          <w:rFonts w:hint="eastAsia" w:eastAsia="黑体"/>
          <w:spacing w:val="5"/>
          <w:sz w:val="32"/>
          <w:szCs w:val="32"/>
        </w:rPr>
        <w:t>编制</w:t>
      </w:r>
      <w:r>
        <w:rPr>
          <w:rFonts w:eastAsia="黑体"/>
          <w:spacing w:val="5"/>
          <w:sz w:val="32"/>
          <w:szCs w:val="32"/>
        </w:rPr>
        <w:t>说明</w:t>
      </w:r>
    </w:p>
    <w:p w14:paraId="079DFD75">
      <w:pPr>
        <w:spacing w:line="580" w:lineRule="exact"/>
        <w:ind w:firstLine="640" w:firstLineChars="200"/>
        <w:rPr>
          <w:rFonts w:hint="eastAsia" w:ascii="黑体" w:hAnsi="黑体" w:eastAsia="黑体" w:cs="黑体"/>
          <w:sz w:val="32"/>
          <w:szCs w:val="32"/>
        </w:rPr>
      </w:pPr>
      <w:r>
        <w:rPr>
          <w:rFonts w:ascii="黑体" w:hAnsi="黑体" w:eastAsia="黑体" w:cs="黑体"/>
          <w:sz w:val="32"/>
          <w:szCs w:val="32"/>
        </w:rPr>
        <w:t>一、目的意义</w:t>
      </w:r>
    </w:p>
    <w:p w14:paraId="53111E29">
      <w:pPr>
        <w:tabs>
          <w:tab w:val="left" w:pos="4536"/>
        </w:tabs>
        <w:spacing w:line="360" w:lineRule="auto"/>
        <w:ind w:firstLine="640" w:firstLineChars="200"/>
        <w:rPr>
          <w:rFonts w:eastAsia="方正仿宋简体"/>
          <w:sz w:val="32"/>
          <w:szCs w:val="32"/>
        </w:rPr>
      </w:pPr>
      <w:r>
        <w:rPr>
          <w:rFonts w:hint="eastAsia" w:eastAsia="方正仿宋简体"/>
          <w:sz w:val="32"/>
          <w:szCs w:val="32"/>
        </w:rPr>
        <w:t>2017年按照江苏省政府办公厅对我省强制性地方标准精简整合工作的部署，南京市节能技术服务中心和江苏省质量和标准化研究院协同各市节能监察中心，对我省64项地方能耗限额标准进行评估、整合，形成了《单位能耗限额统计范围和计算方法》（DB32 /T 2061- 2018），作为《单位能耗限额》（DB32 2060- 2018）的配套标准，对我省开展节能执法、固定资产投资项目评估等工作提供了依据。</w:t>
      </w:r>
    </w:p>
    <w:p w14:paraId="52BEEEA0">
      <w:pPr>
        <w:tabs>
          <w:tab w:val="left" w:pos="4536"/>
        </w:tabs>
        <w:spacing w:line="360" w:lineRule="auto"/>
        <w:ind w:firstLine="640" w:firstLineChars="200"/>
        <w:rPr>
          <w:rFonts w:eastAsia="方正仿宋简体"/>
          <w:sz w:val="32"/>
          <w:szCs w:val="32"/>
        </w:rPr>
      </w:pPr>
      <w:r>
        <w:rPr>
          <w:rFonts w:hint="eastAsia" w:eastAsia="方正仿宋简体"/>
          <w:sz w:val="32"/>
          <w:szCs w:val="32"/>
        </w:rPr>
        <w:t>随着标准化工作的不断推进，2018年以来，国家标准化管理委员会新发布了《</w:t>
      </w:r>
      <w:r>
        <w:fldChar w:fldCharType="begin"/>
      </w:r>
      <w:r>
        <w:instrText xml:space="preserve"> HYPERLINK "http://openstd.samr.gov.cn/bzgk/gb/javascript:void(0)" </w:instrText>
      </w:r>
      <w:r>
        <w:fldChar w:fldCharType="separate"/>
      </w:r>
      <w:r>
        <w:rPr>
          <w:rFonts w:hint="eastAsia" w:eastAsia="方正仿宋简体"/>
          <w:sz w:val="32"/>
          <w:szCs w:val="32"/>
        </w:rPr>
        <w:t>聚酯涤纶单位产品能源消耗限额</w:t>
      </w:r>
      <w:r>
        <w:rPr>
          <w:rFonts w:hint="eastAsia" w:eastAsia="方正仿宋简体"/>
          <w:sz w:val="32"/>
          <w:szCs w:val="32"/>
        </w:rPr>
        <w:fldChar w:fldCharType="end"/>
      </w:r>
      <w:r>
        <w:rPr>
          <w:rFonts w:hint="eastAsia" w:eastAsia="方正仿宋简体"/>
          <w:sz w:val="32"/>
          <w:szCs w:val="32"/>
        </w:rPr>
        <w:t>》《</w:t>
      </w:r>
      <w:r>
        <w:fldChar w:fldCharType="begin"/>
      </w:r>
      <w:r>
        <w:instrText xml:space="preserve"> HYPERLINK "http://openstd.samr.gov.cn/bzgk/gb/javascript:void(0)" </w:instrText>
      </w:r>
      <w:r>
        <w:fldChar w:fldCharType="separate"/>
      </w:r>
      <w:r>
        <w:rPr>
          <w:rFonts w:hint="eastAsia" w:eastAsia="方正仿宋简体"/>
          <w:sz w:val="32"/>
          <w:szCs w:val="32"/>
        </w:rPr>
        <w:t>热电联产单位产品能源消耗限额</w:t>
      </w:r>
      <w:r>
        <w:rPr>
          <w:rFonts w:hint="eastAsia" w:eastAsia="方正仿宋简体"/>
          <w:sz w:val="32"/>
          <w:szCs w:val="32"/>
        </w:rPr>
        <w:fldChar w:fldCharType="end"/>
      </w:r>
      <w:r>
        <w:rPr>
          <w:rFonts w:hint="eastAsia" w:eastAsia="方正仿宋简体"/>
          <w:sz w:val="32"/>
          <w:szCs w:val="32"/>
        </w:rPr>
        <w:t>》《</w:t>
      </w:r>
      <w:r>
        <w:fldChar w:fldCharType="begin"/>
      </w:r>
      <w:r>
        <w:instrText xml:space="preserve"> HYPERLINK "http://openstd.samr.gov.cn/bzgk/gb/javascript:void(0)" </w:instrText>
      </w:r>
      <w:r>
        <w:fldChar w:fldCharType="separate"/>
      </w:r>
      <w:r>
        <w:rPr>
          <w:rFonts w:hint="eastAsia" w:eastAsia="方正仿宋简体"/>
          <w:sz w:val="32"/>
          <w:szCs w:val="32"/>
        </w:rPr>
        <w:t>日用陶瓷单位产品能源消耗限额</w:t>
      </w:r>
      <w:r>
        <w:rPr>
          <w:rFonts w:hint="eastAsia" w:eastAsia="方正仿宋简体"/>
          <w:sz w:val="32"/>
          <w:szCs w:val="32"/>
        </w:rPr>
        <w:fldChar w:fldCharType="end"/>
      </w:r>
      <w:r>
        <w:rPr>
          <w:rFonts w:hint="eastAsia" w:eastAsia="方正仿宋简体"/>
          <w:sz w:val="32"/>
          <w:szCs w:val="32"/>
        </w:rPr>
        <w:t>》《轮胎和炭黑单位产品能源消耗限额》《纯碱单位产品能源消耗限额》《铸造企业规范条件》等多项能耗限额国家标准和规范条件。新发布的能耗限额国家标准中部分指标已严于我省《单位能耗限额》（DB32 2060-2018）中的指标，相关的指标统计范围与《单位能耗限额统计范围和计算方法》（DB32 /T 2061- 2018）也存在着一定的差异。</w:t>
      </w:r>
    </w:p>
    <w:p w14:paraId="01D540E7">
      <w:pPr>
        <w:tabs>
          <w:tab w:val="left" w:pos="4536"/>
        </w:tabs>
        <w:spacing w:line="360" w:lineRule="auto"/>
        <w:ind w:firstLine="640" w:firstLineChars="200"/>
        <w:rPr>
          <w:rFonts w:eastAsia="方正仿宋简体"/>
          <w:sz w:val="32"/>
          <w:szCs w:val="32"/>
        </w:rPr>
      </w:pPr>
      <w:r>
        <w:rPr>
          <w:rFonts w:hint="eastAsia" w:eastAsia="方正仿宋简体"/>
          <w:sz w:val="32"/>
          <w:szCs w:val="32"/>
        </w:rPr>
        <w:t>为提高我省能耗标准的有效性、合理性、可操作性，需对《单位能耗限额统计范围和计算方法》（DB32 /T 2061- 2018）进行修订，形成指标先进、符合省情的能耗标准，更好地发挥能耗标准对节能降耗和产业结构转型升级、绿色发展等方面的推动作用。</w:t>
      </w:r>
    </w:p>
    <w:p w14:paraId="6D278A0C">
      <w:pPr>
        <w:spacing w:line="560" w:lineRule="exact"/>
        <w:ind w:firstLine="640" w:firstLineChars="200"/>
        <w:rPr>
          <w:rFonts w:eastAsia="黑体"/>
          <w:sz w:val="32"/>
          <w:szCs w:val="32"/>
        </w:rPr>
      </w:pPr>
      <w:r>
        <w:rPr>
          <w:rFonts w:eastAsia="黑体"/>
          <w:sz w:val="32"/>
          <w:szCs w:val="32"/>
        </w:rPr>
        <w:t>二、任务来源</w:t>
      </w:r>
    </w:p>
    <w:p w14:paraId="20E7EE0B">
      <w:pPr>
        <w:tabs>
          <w:tab w:val="left" w:pos="4536"/>
        </w:tabs>
        <w:spacing w:line="360" w:lineRule="auto"/>
        <w:ind w:firstLine="640" w:firstLineChars="200"/>
        <w:rPr>
          <w:rFonts w:eastAsia="方正仿宋简体"/>
          <w:sz w:val="32"/>
          <w:szCs w:val="32"/>
        </w:rPr>
      </w:pPr>
      <w:r>
        <w:rPr>
          <w:rFonts w:eastAsia="方正仿宋简体"/>
          <w:sz w:val="32"/>
          <w:szCs w:val="32"/>
        </w:rPr>
        <w:t>202</w:t>
      </w:r>
      <w:r>
        <w:rPr>
          <w:rFonts w:hint="eastAsia" w:eastAsia="方正仿宋简体"/>
          <w:sz w:val="32"/>
          <w:szCs w:val="32"/>
        </w:rPr>
        <w:t>0</w:t>
      </w:r>
      <w:r>
        <w:rPr>
          <w:rFonts w:eastAsia="方正仿宋简体"/>
          <w:sz w:val="32"/>
          <w:szCs w:val="32"/>
        </w:rPr>
        <w:t>年</w:t>
      </w:r>
      <w:r>
        <w:rPr>
          <w:rFonts w:hint="eastAsia" w:eastAsia="方正仿宋简体"/>
          <w:sz w:val="32"/>
          <w:szCs w:val="32"/>
        </w:rPr>
        <w:t>7</w:t>
      </w:r>
      <w:r>
        <w:rPr>
          <w:rFonts w:eastAsia="方正仿宋简体"/>
          <w:sz w:val="32"/>
          <w:szCs w:val="32"/>
        </w:rPr>
        <w:t>月2日，江苏省市场监督管理局下达了关于202</w:t>
      </w:r>
      <w:r>
        <w:rPr>
          <w:rFonts w:hint="eastAsia" w:eastAsia="方正仿宋简体"/>
          <w:sz w:val="32"/>
          <w:szCs w:val="32"/>
        </w:rPr>
        <w:t>0</w:t>
      </w:r>
      <w:r>
        <w:rPr>
          <w:rFonts w:eastAsia="方正仿宋简体"/>
          <w:sz w:val="32"/>
          <w:szCs w:val="32"/>
        </w:rPr>
        <w:t xml:space="preserve"> 年度</w:t>
      </w:r>
      <w:r>
        <w:rPr>
          <w:rFonts w:hint="eastAsia" w:eastAsia="方正仿宋简体"/>
          <w:sz w:val="32"/>
          <w:szCs w:val="32"/>
        </w:rPr>
        <w:t>第一批江苏省地方标准项目计划的通知</w:t>
      </w:r>
      <w:r>
        <w:rPr>
          <w:rFonts w:eastAsia="方正仿宋简体"/>
          <w:sz w:val="32"/>
          <w:szCs w:val="32"/>
        </w:rPr>
        <w:t>（苏市监标〔202</w:t>
      </w:r>
      <w:r>
        <w:rPr>
          <w:rFonts w:hint="eastAsia" w:eastAsia="方正仿宋简体"/>
          <w:sz w:val="32"/>
          <w:szCs w:val="32"/>
        </w:rPr>
        <w:t>0</w:t>
      </w:r>
      <w:r>
        <w:rPr>
          <w:rFonts w:eastAsia="方正仿宋简体"/>
          <w:sz w:val="32"/>
          <w:szCs w:val="32"/>
        </w:rPr>
        <w:t>〕19</w:t>
      </w:r>
      <w:r>
        <w:rPr>
          <w:rFonts w:hint="eastAsia" w:eastAsia="方正仿宋简体"/>
          <w:sz w:val="32"/>
          <w:szCs w:val="32"/>
        </w:rPr>
        <w:t>0</w:t>
      </w:r>
      <w:r>
        <w:rPr>
          <w:rFonts w:eastAsia="方正仿宋简体"/>
          <w:sz w:val="32"/>
          <w:szCs w:val="32"/>
        </w:rPr>
        <w:t xml:space="preserve"> 号），</w:t>
      </w:r>
      <w:r>
        <w:rPr>
          <w:rFonts w:hint="eastAsia" w:eastAsia="方正仿宋简体"/>
          <w:sz w:val="32"/>
          <w:szCs w:val="32"/>
        </w:rPr>
        <w:t>批准了江苏省地方标准</w:t>
      </w:r>
      <w:r>
        <w:rPr>
          <w:rFonts w:eastAsia="方正仿宋简体"/>
          <w:sz w:val="32"/>
          <w:szCs w:val="32"/>
        </w:rPr>
        <w:t>《</w:t>
      </w:r>
      <w:r>
        <w:rPr>
          <w:rFonts w:hint="eastAsia" w:eastAsia="方正仿宋简体"/>
          <w:sz w:val="32"/>
          <w:szCs w:val="32"/>
        </w:rPr>
        <w:t>单位能耗限额统计范围和计算方法</w:t>
      </w:r>
      <w:r>
        <w:rPr>
          <w:rFonts w:eastAsia="方正仿宋简体"/>
          <w:sz w:val="32"/>
          <w:szCs w:val="32"/>
        </w:rPr>
        <w:t>》</w:t>
      </w:r>
      <w:r>
        <w:rPr>
          <w:rFonts w:hint="eastAsia" w:eastAsia="方正仿宋简体"/>
          <w:sz w:val="32"/>
          <w:szCs w:val="32"/>
        </w:rPr>
        <w:t>的立项</w:t>
      </w:r>
      <w:r>
        <w:rPr>
          <w:rFonts w:eastAsia="方正仿宋简体"/>
          <w:sz w:val="32"/>
          <w:szCs w:val="32"/>
        </w:rPr>
        <w:t>，</w:t>
      </w:r>
      <w:r>
        <w:rPr>
          <w:rFonts w:hint="eastAsia" w:eastAsia="方正仿宋简体"/>
          <w:sz w:val="32"/>
          <w:szCs w:val="32"/>
        </w:rPr>
        <w:t>为</w:t>
      </w:r>
      <w:r>
        <w:rPr>
          <w:rFonts w:eastAsia="方正仿宋简体"/>
          <w:sz w:val="32"/>
          <w:szCs w:val="32"/>
        </w:rPr>
        <w:t>202</w:t>
      </w:r>
      <w:r>
        <w:rPr>
          <w:rFonts w:hint="eastAsia" w:eastAsia="方正仿宋简体"/>
          <w:sz w:val="32"/>
          <w:szCs w:val="32"/>
        </w:rPr>
        <w:t>0</w:t>
      </w:r>
      <w:r>
        <w:rPr>
          <w:rFonts w:eastAsia="方正仿宋简体"/>
          <w:sz w:val="32"/>
          <w:szCs w:val="32"/>
        </w:rPr>
        <w:t>年度江苏省地方标准项目计划</w:t>
      </w:r>
      <w:r>
        <w:rPr>
          <w:rFonts w:hint="eastAsia" w:eastAsia="方正仿宋简体"/>
          <w:sz w:val="32"/>
          <w:szCs w:val="32"/>
        </w:rPr>
        <w:t>258</w:t>
      </w:r>
      <w:r>
        <w:rPr>
          <w:rFonts w:eastAsia="方正仿宋简体"/>
          <w:sz w:val="32"/>
          <w:szCs w:val="32"/>
        </w:rPr>
        <w:t xml:space="preserve"> 项地方标准制（修）订项目中第</w:t>
      </w:r>
      <w:r>
        <w:rPr>
          <w:rFonts w:hint="eastAsia" w:eastAsia="方正仿宋简体"/>
          <w:sz w:val="32"/>
          <w:szCs w:val="32"/>
        </w:rPr>
        <w:t>252</w:t>
      </w:r>
      <w:r>
        <w:rPr>
          <w:rFonts w:eastAsia="方正仿宋简体"/>
          <w:sz w:val="32"/>
          <w:szCs w:val="32"/>
        </w:rPr>
        <w:t>项。</w:t>
      </w:r>
    </w:p>
    <w:p w14:paraId="7CA3D3F7">
      <w:pPr>
        <w:spacing w:line="560" w:lineRule="exact"/>
        <w:ind w:firstLine="640" w:firstLineChars="200"/>
        <w:rPr>
          <w:rFonts w:eastAsia="黑体"/>
          <w:sz w:val="32"/>
          <w:szCs w:val="32"/>
        </w:rPr>
      </w:pPr>
      <w:r>
        <w:rPr>
          <w:rFonts w:eastAsia="黑体"/>
          <w:sz w:val="32"/>
          <w:szCs w:val="32"/>
        </w:rPr>
        <w:t>三、</w:t>
      </w:r>
      <w:r>
        <w:rPr>
          <w:rFonts w:hint="eastAsia" w:eastAsia="黑体"/>
          <w:sz w:val="32"/>
          <w:szCs w:val="32"/>
        </w:rPr>
        <w:t>编制</w:t>
      </w:r>
      <w:r>
        <w:rPr>
          <w:rFonts w:eastAsia="黑体"/>
          <w:sz w:val="32"/>
          <w:szCs w:val="32"/>
        </w:rPr>
        <w:t>过程</w:t>
      </w:r>
    </w:p>
    <w:p w14:paraId="34079EDF">
      <w:pPr>
        <w:spacing w:line="580" w:lineRule="exact"/>
        <w:ind w:firstLine="640" w:firstLineChars="200"/>
        <w:rPr>
          <w:rFonts w:hint="eastAsia" w:ascii="楷体" w:hAnsi="楷体" w:eastAsia="楷体" w:cs="方正仿宋_GBK"/>
          <w:sz w:val="32"/>
          <w:szCs w:val="32"/>
        </w:rPr>
      </w:pPr>
      <w:r>
        <w:rPr>
          <w:rFonts w:ascii="楷体" w:hAnsi="楷体" w:eastAsia="楷体" w:cs="方正仿宋_GBK"/>
          <w:sz w:val="32"/>
          <w:szCs w:val="32"/>
        </w:rPr>
        <w:t>（一）成立编制小组、制定工作方案</w:t>
      </w:r>
    </w:p>
    <w:p w14:paraId="23669978">
      <w:pPr>
        <w:tabs>
          <w:tab w:val="left" w:pos="4536"/>
        </w:tabs>
        <w:spacing w:line="360" w:lineRule="auto"/>
        <w:ind w:firstLine="640" w:firstLineChars="200"/>
        <w:rPr>
          <w:rFonts w:eastAsia="方正仿宋简体"/>
          <w:sz w:val="32"/>
          <w:szCs w:val="32"/>
        </w:rPr>
      </w:pPr>
      <w:r>
        <w:rPr>
          <w:rFonts w:eastAsia="方正仿宋简体"/>
          <w:sz w:val="32"/>
          <w:szCs w:val="32"/>
        </w:rPr>
        <w:t>202</w:t>
      </w:r>
      <w:r>
        <w:rPr>
          <w:rFonts w:hint="eastAsia" w:eastAsia="方正仿宋简体"/>
          <w:sz w:val="32"/>
          <w:szCs w:val="32"/>
        </w:rPr>
        <w:t>0</w:t>
      </w:r>
      <w:r>
        <w:rPr>
          <w:rFonts w:eastAsia="方正仿宋简体"/>
          <w:sz w:val="32"/>
          <w:szCs w:val="32"/>
        </w:rPr>
        <w:t>年</w:t>
      </w:r>
      <w:r>
        <w:rPr>
          <w:rFonts w:hint="eastAsia" w:eastAsia="方正仿宋简体"/>
          <w:sz w:val="32"/>
          <w:szCs w:val="32"/>
        </w:rPr>
        <w:t>7</w:t>
      </w:r>
      <w:r>
        <w:rPr>
          <w:rFonts w:eastAsia="方正仿宋简体"/>
          <w:sz w:val="32"/>
          <w:szCs w:val="32"/>
        </w:rPr>
        <w:t>月，成立标准编制工作小组，由</w:t>
      </w:r>
      <w:r>
        <w:rPr>
          <w:rFonts w:hint="eastAsia" w:eastAsia="方正仿宋简体"/>
          <w:sz w:val="32"/>
          <w:szCs w:val="32"/>
        </w:rPr>
        <w:t>南京市节能技术服务中心</w:t>
      </w:r>
      <w:r>
        <w:rPr>
          <w:rFonts w:eastAsia="方正仿宋简体"/>
          <w:sz w:val="32"/>
          <w:szCs w:val="32"/>
        </w:rPr>
        <w:t>作为主起草单位，江苏省质量和标准化研究院、</w:t>
      </w:r>
      <w:r>
        <w:rPr>
          <w:rFonts w:hint="eastAsia" w:eastAsia="方正仿宋简体"/>
          <w:sz w:val="32"/>
          <w:szCs w:val="32"/>
        </w:rPr>
        <w:t>无锡市节能监察支队、苏州市节能监察中心、扬州市节能监察中心</w:t>
      </w:r>
      <w:r>
        <w:rPr>
          <w:rFonts w:eastAsia="方正仿宋简体"/>
          <w:sz w:val="32"/>
          <w:szCs w:val="32"/>
        </w:rPr>
        <w:t>共同参与。</w:t>
      </w:r>
      <w:r>
        <w:rPr>
          <w:rFonts w:hint="eastAsia" w:eastAsia="方正仿宋简体"/>
          <w:sz w:val="32"/>
          <w:szCs w:val="32"/>
        </w:rPr>
        <w:t>2020年8月</w:t>
      </w:r>
      <w:r>
        <w:rPr>
          <w:rFonts w:eastAsia="方正仿宋简体"/>
          <w:sz w:val="32"/>
          <w:szCs w:val="32"/>
        </w:rPr>
        <w:t>，工作小组编写了标准制定工作方案，明确了标准制定的工作原则、工作内容、进度安排及保障措施；启动标准</w:t>
      </w:r>
      <w:r>
        <w:rPr>
          <w:rFonts w:hint="eastAsia" w:eastAsia="方正仿宋简体"/>
          <w:sz w:val="32"/>
          <w:szCs w:val="32"/>
        </w:rPr>
        <w:t>修订</w:t>
      </w:r>
      <w:r>
        <w:rPr>
          <w:rFonts w:eastAsia="方正仿宋简体"/>
          <w:sz w:val="32"/>
          <w:szCs w:val="32"/>
        </w:rPr>
        <w:t>工作，讨论并初步确定标准</w:t>
      </w:r>
      <w:r>
        <w:rPr>
          <w:rFonts w:hint="eastAsia" w:eastAsia="方正仿宋简体"/>
          <w:sz w:val="32"/>
          <w:szCs w:val="32"/>
        </w:rPr>
        <w:t>修订主要内容</w:t>
      </w:r>
      <w:r>
        <w:rPr>
          <w:rFonts w:eastAsia="方正仿宋简体"/>
          <w:sz w:val="32"/>
          <w:szCs w:val="32"/>
        </w:rPr>
        <w:t>。</w:t>
      </w:r>
    </w:p>
    <w:p w14:paraId="321A5CDF">
      <w:pPr>
        <w:spacing w:line="580" w:lineRule="exact"/>
        <w:ind w:firstLine="640" w:firstLineChars="200"/>
        <w:rPr>
          <w:rFonts w:hint="eastAsia" w:ascii="楷体" w:hAnsi="楷体" w:eastAsia="楷体" w:cs="方正仿宋_GBK"/>
          <w:sz w:val="32"/>
          <w:szCs w:val="32"/>
        </w:rPr>
      </w:pPr>
      <w:r>
        <w:rPr>
          <w:rFonts w:ascii="楷体" w:hAnsi="楷体" w:eastAsia="楷体" w:cs="方正仿宋_GBK"/>
          <w:sz w:val="32"/>
          <w:szCs w:val="32"/>
        </w:rPr>
        <w:t>（</w:t>
      </w:r>
      <w:r>
        <w:rPr>
          <w:rFonts w:hint="eastAsia" w:ascii="楷体" w:hAnsi="楷体" w:eastAsia="楷体" w:cs="方正仿宋_GBK"/>
          <w:sz w:val="32"/>
          <w:szCs w:val="32"/>
        </w:rPr>
        <w:t>二</w:t>
      </w:r>
      <w:r>
        <w:rPr>
          <w:rFonts w:ascii="楷体" w:hAnsi="楷体" w:eastAsia="楷体" w:cs="方正仿宋_GBK"/>
          <w:sz w:val="32"/>
          <w:szCs w:val="32"/>
        </w:rPr>
        <w:t>）</w:t>
      </w:r>
      <w:r>
        <w:rPr>
          <w:rFonts w:hint="eastAsia" w:ascii="楷体" w:hAnsi="楷体" w:eastAsia="楷体" w:cs="方正仿宋_GBK"/>
          <w:sz w:val="32"/>
          <w:szCs w:val="32"/>
        </w:rPr>
        <w:t>标准修订需求征集</w:t>
      </w:r>
    </w:p>
    <w:p w14:paraId="3869AD68">
      <w:pPr>
        <w:tabs>
          <w:tab w:val="left" w:pos="4536"/>
        </w:tabs>
        <w:spacing w:line="360" w:lineRule="auto"/>
        <w:ind w:firstLine="640" w:firstLineChars="200"/>
        <w:rPr>
          <w:rFonts w:eastAsia="方正仿宋简体"/>
          <w:sz w:val="32"/>
          <w:szCs w:val="32"/>
        </w:rPr>
      </w:pPr>
      <w:r>
        <w:rPr>
          <w:rFonts w:hint="eastAsia" w:eastAsia="方正仿宋简体"/>
          <w:sz w:val="32"/>
          <w:szCs w:val="32"/>
        </w:rPr>
        <w:t>结合企事业单位日常使用标准的反馈，2019年4月2日，江苏省工业和信息化厅下发了《关于征集江苏省地方能耗标准修订需求的通知》（苏工信节能〔2019〕200号），向各设区市工信局、各市节能监察部门，以及有关单位（重点用能单位）征求意见，共收到反馈意见28条，其中修订意见7条。</w:t>
      </w:r>
    </w:p>
    <w:p w14:paraId="492E32D1">
      <w:pPr>
        <w:spacing w:line="580" w:lineRule="exact"/>
        <w:ind w:firstLine="640" w:firstLineChars="200"/>
        <w:rPr>
          <w:rFonts w:hint="eastAsia" w:ascii="楷体" w:hAnsi="楷体" w:eastAsia="楷体" w:cs="方正仿宋_GBK"/>
          <w:sz w:val="32"/>
          <w:szCs w:val="32"/>
        </w:rPr>
      </w:pPr>
      <w:r>
        <w:rPr>
          <w:rFonts w:ascii="楷体" w:hAnsi="楷体" w:eastAsia="楷体" w:cs="方正仿宋_GBK"/>
          <w:sz w:val="32"/>
          <w:szCs w:val="32"/>
        </w:rPr>
        <w:t>（</w:t>
      </w:r>
      <w:r>
        <w:rPr>
          <w:rFonts w:hint="eastAsia" w:ascii="楷体" w:hAnsi="楷体" w:eastAsia="楷体" w:cs="方正仿宋_GBK"/>
          <w:sz w:val="32"/>
          <w:szCs w:val="32"/>
        </w:rPr>
        <w:t>三</w:t>
      </w:r>
      <w:r>
        <w:rPr>
          <w:rFonts w:ascii="楷体" w:hAnsi="楷体" w:eastAsia="楷体" w:cs="方正仿宋_GBK"/>
          <w:sz w:val="32"/>
          <w:szCs w:val="32"/>
        </w:rPr>
        <w:t>）</w:t>
      </w:r>
      <w:r>
        <w:rPr>
          <w:rFonts w:hint="eastAsia" w:ascii="楷体" w:hAnsi="楷体" w:eastAsia="楷体" w:cs="方正仿宋_GBK"/>
          <w:sz w:val="32"/>
          <w:szCs w:val="32"/>
        </w:rPr>
        <w:t>标准修订评估</w:t>
      </w:r>
    </w:p>
    <w:p w14:paraId="0C605312">
      <w:pPr>
        <w:tabs>
          <w:tab w:val="left" w:pos="4536"/>
        </w:tabs>
        <w:spacing w:line="360" w:lineRule="auto"/>
        <w:ind w:firstLine="640" w:firstLineChars="200"/>
        <w:rPr>
          <w:rFonts w:eastAsia="方正仿宋简体"/>
          <w:sz w:val="32"/>
          <w:szCs w:val="32"/>
        </w:rPr>
      </w:pPr>
      <w:r>
        <w:rPr>
          <w:rFonts w:hint="eastAsia" w:eastAsia="方正仿宋简体"/>
          <w:sz w:val="32"/>
          <w:szCs w:val="32"/>
        </w:rPr>
        <w:t>标准修订牵头单位在收集反馈意见并汇总的基础上，将《单位能耗限额统计范围和计算方法》充分与国家能耗限额标准进行对照，并征询标准修订分小组及部分标准的原编制单位的意见，拟确定了本次地方标准修订的重点。</w:t>
      </w:r>
    </w:p>
    <w:p w14:paraId="665F9687">
      <w:pPr>
        <w:spacing w:line="360" w:lineRule="auto"/>
        <w:ind w:firstLine="640" w:firstLineChars="200"/>
        <w:outlineLvl w:val="1"/>
        <w:rPr>
          <w:rFonts w:hint="eastAsia" w:ascii="宋体" w:hAnsi="宋体" w:eastAsia="楷体"/>
          <w:sz w:val="24"/>
        </w:rPr>
      </w:pPr>
      <w:r>
        <w:rPr>
          <w:rFonts w:ascii="楷体" w:hAnsi="楷体" w:eastAsia="楷体" w:cs="方正仿宋_GBK"/>
          <w:sz w:val="32"/>
          <w:szCs w:val="32"/>
        </w:rPr>
        <w:t>（</w:t>
      </w:r>
      <w:r>
        <w:rPr>
          <w:rFonts w:hint="eastAsia" w:ascii="楷体" w:hAnsi="楷体" w:eastAsia="楷体" w:cs="方正仿宋_GBK"/>
          <w:sz w:val="32"/>
          <w:szCs w:val="32"/>
        </w:rPr>
        <w:t>四</w:t>
      </w:r>
      <w:r>
        <w:rPr>
          <w:rFonts w:ascii="楷体" w:hAnsi="楷体" w:eastAsia="楷体" w:cs="方正仿宋_GBK"/>
          <w:sz w:val="32"/>
          <w:szCs w:val="32"/>
        </w:rPr>
        <w:t>）</w:t>
      </w:r>
      <w:r>
        <w:rPr>
          <w:rFonts w:hint="eastAsia" w:ascii="楷体" w:hAnsi="楷体" w:eastAsia="楷体" w:cs="方正仿宋_GBK"/>
          <w:sz w:val="32"/>
          <w:szCs w:val="32"/>
        </w:rPr>
        <w:t>标准修订与调研</w:t>
      </w:r>
    </w:p>
    <w:p w14:paraId="7C1EB3B2">
      <w:pPr>
        <w:tabs>
          <w:tab w:val="left" w:pos="4536"/>
        </w:tabs>
        <w:spacing w:line="360" w:lineRule="auto"/>
        <w:ind w:firstLine="640" w:firstLineChars="200"/>
        <w:rPr>
          <w:rFonts w:eastAsia="方正仿宋简体"/>
          <w:sz w:val="32"/>
          <w:szCs w:val="32"/>
        </w:rPr>
      </w:pPr>
      <w:r>
        <w:rPr>
          <w:rFonts w:hint="eastAsia" w:eastAsia="方正仿宋简体"/>
          <w:sz w:val="32"/>
          <w:szCs w:val="32"/>
        </w:rPr>
        <w:t>标准修订工作小组就各自负责涉及到的单项产品指标开展调研，最终将调研后形成的标准修订内容与相关支撑材料提交给标准修订牵头单位。标准修订牵头单位对反馈资料进行整理后，形成《单位能耗限额统计范围和计算方法》修订稿。</w:t>
      </w:r>
    </w:p>
    <w:p w14:paraId="40E0C121">
      <w:pPr>
        <w:spacing w:line="360" w:lineRule="auto"/>
        <w:ind w:firstLine="640" w:firstLineChars="200"/>
        <w:outlineLvl w:val="1"/>
        <w:rPr>
          <w:rFonts w:hint="eastAsia" w:ascii="楷体" w:hAnsi="楷体" w:eastAsia="楷体" w:cs="方正仿宋_GBK"/>
          <w:sz w:val="32"/>
          <w:szCs w:val="32"/>
        </w:rPr>
      </w:pPr>
      <w:r>
        <w:rPr>
          <w:rFonts w:ascii="楷体" w:hAnsi="楷体" w:eastAsia="楷体" w:cs="方正仿宋_GBK"/>
          <w:sz w:val="32"/>
          <w:szCs w:val="32"/>
        </w:rPr>
        <w:t>（</w:t>
      </w:r>
      <w:r>
        <w:rPr>
          <w:rFonts w:hint="eastAsia" w:ascii="楷体" w:hAnsi="楷体" w:eastAsia="楷体" w:cs="方正仿宋_GBK"/>
          <w:sz w:val="32"/>
          <w:szCs w:val="32"/>
        </w:rPr>
        <w:t>五</w:t>
      </w:r>
      <w:r>
        <w:rPr>
          <w:rFonts w:ascii="楷体" w:hAnsi="楷体" w:eastAsia="楷体" w:cs="方正仿宋_GBK"/>
          <w:sz w:val="32"/>
          <w:szCs w:val="32"/>
        </w:rPr>
        <w:t>）</w:t>
      </w:r>
      <w:r>
        <w:rPr>
          <w:rFonts w:hint="eastAsia" w:ascii="楷体" w:hAnsi="楷体" w:eastAsia="楷体" w:cs="方正仿宋_GBK"/>
          <w:sz w:val="32"/>
          <w:szCs w:val="32"/>
        </w:rPr>
        <w:t>广泛征求意见、进行意见处理</w:t>
      </w:r>
    </w:p>
    <w:p w14:paraId="095DE66F">
      <w:pPr>
        <w:tabs>
          <w:tab w:val="left" w:pos="4536"/>
        </w:tabs>
        <w:spacing w:line="360" w:lineRule="auto"/>
        <w:ind w:firstLine="640" w:firstLineChars="200"/>
        <w:rPr>
          <w:rFonts w:hint="eastAsia" w:ascii="方正仿宋简体" w:eastAsia="方正仿宋简体"/>
          <w:sz w:val="32"/>
          <w:szCs w:val="32"/>
        </w:rPr>
      </w:pPr>
      <w:r>
        <w:rPr>
          <w:rFonts w:hint="eastAsia" w:ascii="方正仿宋简体" w:eastAsia="方正仿宋简体"/>
          <w:sz w:val="32"/>
          <w:szCs w:val="32"/>
        </w:rPr>
        <w:t>2021年5月，为广泛征求各方意见，标准修订提出单位江苏省工业和信息化厅下发了《关于征求能耗限额江苏省地方标准修订稿意见的函》，将《单位能耗限额统计范围和计算方法》（征求意见稿）下发至江苏省各市工信局节能主管部门及各市节能监察中心和部分重点企业，请相关部门、单位及专家从专业角度提出修改意见。</w:t>
      </w:r>
    </w:p>
    <w:p w14:paraId="725DE2D3">
      <w:pPr>
        <w:tabs>
          <w:tab w:val="left" w:pos="4536"/>
        </w:tabs>
        <w:spacing w:line="360" w:lineRule="auto"/>
        <w:ind w:firstLine="640" w:firstLineChars="200"/>
        <w:rPr>
          <w:rFonts w:hint="eastAsia" w:ascii="方正仿宋简体" w:eastAsia="方正仿宋简体"/>
          <w:sz w:val="32"/>
          <w:szCs w:val="32"/>
        </w:rPr>
      </w:pPr>
      <w:r>
        <w:rPr>
          <w:rFonts w:hint="eastAsia" w:ascii="方正仿宋简体" w:eastAsia="方正仿宋简体"/>
          <w:sz w:val="32"/>
          <w:szCs w:val="32"/>
        </w:rPr>
        <w:t>经统计，共征求了26个单位的意见，其中有</w:t>
      </w:r>
      <w:r>
        <w:rPr>
          <w:rFonts w:hint="eastAsia" w:ascii="方正仿宋简体" w:eastAsia="方正仿宋简体"/>
          <w:sz w:val="32"/>
          <w:szCs w:val="32"/>
          <w:lang w:val="en-US" w:eastAsia="zh-CN"/>
        </w:rPr>
        <w:t>4</w:t>
      </w:r>
      <w:r>
        <w:rPr>
          <w:rFonts w:hint="eastAsia" w:ascii="方正仿宋简体" w:eastAsia="方正仿宋简体"/>
          <w:sz w:val="32"/>
          <w:szCs w:val="32"/>
        </w:rPr>
        <w:t>个单位回复了修改意见，征集到有效意见</w:t>
      </w:r>
      <w:r>
        <w:rPr>
          <w:rFonts w:hint="eastAsia" w:ascii="方正仿宋简体" w:eastAsia="方正仿宋简体"/>
          <w:sz w:val="32"/>
          <w:szCs w:val="32"/>
          <w:lang w:val="en-US" w:eastAsia="zh-CN"/>
        </w:rPr>
        <w:t>10</w:t>
      </w:r>
      <w:r>
        <w:rPr>
          <w:rFonts w:hint="eastAsia" w:ascii="方正仿宋简体" w:eastAsia="方正仿宋简体"/>
          <w:sz w:val="32"/>
          <w:szCs w:val="32"/>
        </w:rPr>
        <w:t>条。工作小组对征集到的意见进行逐条讨论并给出处理意见，其中，征集到的</w:t>
      </w:r>
      <w:r>
        <w:rPr>
          <w:rFonts w:hint="eastAsia" w:ascii="方正仿宋简体" w:eastAsia="方正仿宋简体"/>
          <w:sz w:val="32"/>
          <w:szCs w:val="32"/>
          <w:lang w:val="en-US" w:eastAsia="zh-CN"/>
        </w:rPr>
        <w:t>10</w:t>
      </w:r>
      <w:r>
        <w:rPr>
          <w:rFonts w:hint="eastAsia" w:ascii="方正仿宋简体" w:eastAsia="方正仿宋简体"/>
          <w:sz w:val="32"/>
          <w:szCs w:val="32"/>
        </w:rPr>
        <w:t>条有效意见中，采纳</w:t>
      </w:r>
      <w:r>
        <w:rPr>
          <w:rFonts w:hint="eastAsia" w:ascii="方正仿宋简体" w:eastAsia="方正仿宋简体"/>
          <w:sz w:val="32"/>
          <w:szCs w:val="32"/>
          <w:lang w:val="en-US" w:eastAsia="zh-CN"/>
        </w:rPr>
        <w:t>10</w:t>
      </w:r>
      <w:r>
        <w:rPr>
          <w:rFonts w:hint="eastAsia" w:ascii="方正仿宋简体" w:eastAsia="方正仿宋简体"/>
          <w:sz w:val="32"/>
          <w:szCs w:val="32"/>
        </w:rPr>
        <w:t>条。工作小组根据意见整理修改，形成标准送审稿。</w:t>
      </w:r>
    </w:p>
    <w:p w14:paraId="16D3A2D4">
      <w:pPr>
        <w:spacing w:line="560" w:lineRule="exact"/>
        <w:ind w:firstLine="640" w:firstLineChars="200"/>
        <w:rPr>
          <w:rFonts w:eastAsia="黑体"/>
          <w:sz w:val="32"/>
          <w:szCs w:val="32"/>
        </w:rPr>
      </w:pPr>
      <w:r>
        <w:rPr>
          <w:rFonts w:hint="eastAsia" w:eastAsia="黑体"/>
          <w:sz w:val="32"/>
          <w:szCs w:val="32"/>
        </w:rPr>
        <w:t>四、标准修订原则及主要技术内容确定</w:t>
      </w:r>
    </w:p>
    <w:p w14:paraId="501A6154">
      <w:pPr>
        <w:spacing w:line="580" w:lineRule="exact"/>
        <w:ind w:firstLine="640" w:firstLineChars="200"/>
        <w:rPr>
          <w:rFonts w:hint="eastAsia" w:ascii="楷体" w:hAnsi="楷体" w:eastAsia="楷体" w:cs="方正仿宋_GBK"/>
          <w:sz w:val="32"/>
          <w:szCs w:val="32"/>
        </w:rPr>
      </w:pPr>
      <w:r>
        <w:rPr>
          <w:rFonts w:ascii="楷体" w:hAnsi="楷体" w:eastAsia="楷体" w:cs="方正仿宋_GBK"/>
          <w:sz w:val="32"/>
          <w:szCs w:val="32"/>
        </w:rPr>
        <w:t>（一）</w:t>
      </w:r>
      <w:r>
        <w:rPr>
          <w:rFonts w:hint="eastAsia" w:ascii="楷体" w:hAnsi="楷体" w:eastAsia="楷体" w:cs="方正仿宋_GBK"/>
          <w:sz w:val="32"/>
          <w:szCs w:val="32"/>
        </w:rPr>
        <w:t>修订原则</w:t>
      </w:r>
    </w:p>
    <w:p w14:paraId="1F14A3D7">
      <w:pPr>
        <w:tabs>
          <w:tab w:val="left" w:pos="4536"/>
        </w:tabs>
        <w:spacing w:line="360" w:lineRule="auto"/>
        <w:ind w:firstLine="640" w:firstLineChars="200"/>
        <w:rPr>
          <w:rFonts w:hint="eastAsia" w:ascii="方正仿宋简体" w:eastAsia="方正仿宋简体"/>
          <w:sz w:val="32"/>
          <w:szCs w:val="32"/>
        </w:rPr>
      </w:pPr>
      <w:r>
        <w:rPr>
          <w:rFonts w:hint="eastAsia" w:ascii="方正仿宋简体" w:eastAsia="方正仿宋简体"/>
          <w:sz w:val="32"/>
          <w:szCs w:val="32"/>
        </w:rPr>
        <w:t>本标准的修订工作遵循以下原则：</w:t>
      </w:r>
    </w:p>
    <w:p w14:paraId="75DE3E27">
      <w:pPr>
        <w:tabs>
          <w:tab w:val="left" w:pos="4536"/>
        </w:tabs>
        <w:spacing w:line="360" w:lineRule="auto"/>
        <w:ind w:firstLine="640" w:firstLineChars="200"/>
        <w:rPr>
          <w:rFonts w:hint="eastAsia" w:ascii="方正仿宋简体" w:eastAsia="方正仿宋简体"/>
          <w:sz w:val="32"/>
          <w:szCs w:val="32"/>
        </w:rPr>
      </w:pPr>
      <w:r>
        <w:rPr>
          <w:rFonts w:hint="eastAsia" w:ascii="方正仿宋简体" w:eastAsia="方正仿宋简体"/>
          <w:sz w:val="32"/>
          <w:szCs w:val="32"/>
        </w:rPr>
        <w:t>1.产品能耗限额应当科学、合理，能耗限额指标应具有可比性。</w:t>
      </w:r>
    </w:p>
    <w:p w14:paraId="6A035035">
      <w:pPr>
        <w:tabs>
          <w:tab w:val="left" w:pos="4536"/>
        </w:tabs>
        <w:spacing w:line="360" w:lineRule="auto"/>
        <w:ind w:firstLine="640" w:firstLineChars="200"/>
        <w:rPr>
          <w:rFonts w:hint="eastAsia" w:ascii="方正仿宋简体" w:eastAsia="方正仿宋简体"/>
          <w:sz w:val="32"/>
          <w:szCs w:val="32"/>
        </w:rPr>
      </w:pPr>
      <w:r>
        <w:rPr>
          <w:rFonts w:hint="eastAsia" w:ascii="方正仿宋简体" w:eastAsia="方正仿宋简体"/>
          <w:sz w:val="32"/>
          <w:szCs w:val="32"/>
        </w:rPr>
        <w:t>2.制定产品能耗限额应与国家产业政策保持一致，并且严于对应的国家能耗限额标准。</w:t>
      </w:r>
    </w:p>
    <w:p w14:paraId="1C28ECC7">
      <w:pPr>
        <w:tabs>
          <w:tab w:val="left" w:pos="4536"/>
        </w:tabs>
        <w:spacing w:line="360" w:lineRule="auto"/>
        <w:ind w:firstLine="640" w:firstLineChars="200"/>
        <w:rPr>
          <w:rFonts w:hint="eastAsia" w:ascii="方正仿宋简体" w:eastAsia="方正仿宋简体"/>
          <w:sz w:val="32"/>
          <w:szCs w:val="32"/>
        </w:rPr>
      </w:pPr>
      <w:r>
        <w:rPr>
          <w:rFonts w:hint="eastAsia" w:ascii="方正仿宋简体" w:eastAsia="方正仿宋简体"/>
          <w:sz w:val="32"/>
          <w:szCs w:val="32"/>
        </w:rPr>
        <w:t>3.依据省内外的现有技术水准和管理水平，并考虑其激励作用，设定阶段性限额指标。</w:t>
      </w:r>
    </w:p>
    <w:p w14:paraId="69105ADE">
      <w:pPr>
        <w:tabs>
          <w:tab w:val="left" w:pos="4536"/>
        </w:tabs>
        <w:spacing w:line="360" w:lineRule="auto"/>
        <w:ind w:firstLine="640" w:firstLineChars="200"/>
        <w:rPr>
          <w:rFonts w:hint="eastAsia" w:ascii="方正仿宋简体" w:eastAsia="方正仿宋简体"/>
          <w:sz w:val="32"/>
          <w:szCs w:val="32"/>
        </w:rPr>
      </w:pPr>
      <w:r>
        <w:rPr>
          <w:rFonts w:hint="eastAsia" w:ascii="方正仿宋简体" w:eastAsia="方正仿宋简体"/>
          <w:sz w:val="32"/>
          <w:szCs w:val="32"/>
        </w:rPr>
        <w:t>4.注重实用和可操作性，尽量选择行业常用的指标计算方法，以易于企业和监察人员理解和掌握。</w:t>
      </w:r>
    </w:p>
    <w:p w14:paraId="337AE8EA">
      <w:pPr>
        <w:spacing w:line="580" w:lineRule="exact"/>
        <w:ind w:firstLine="640" w:firstLineChars="200"/>
        <w:rPr>
          <w:rFonts w:hint="eastAsia" w:ascii="楷体" w:hAnsi="楷体" w:eastAsia="楷体" w:cs="方正仿宋_GBK"/>
          <w:sz w:val="32"/>
          <w:szCs w:val="32"/>
        </w:rPr>
      </w:pPr>
      <w:r>
        <w:rPr>
          <w:rFonts w:ascii="楷体" w:hAnsi="楷体" w:eastAsia="楷体" w:cs="方正仿宋_GBK"/>
          <w:sz w:val="32"/>
          <w:szCs w:val="32"/>
        </w:rPr>
        <w:t>（</w:t>
      </w:r>
      <w:r>
        <w:rPr>
          <w:rFonts w:hint="eastAsia" w:ascii="楷体" w:hAnsi="楷体" w:eastAsia="楷体" w:cs="方正仿宋_GBK"/>
          <w:sz w:val="32"/>
          <w:szCs w:val="32"/>
        </w:rPr>
        <w:t>二</w:t>
      </w:r>
      <w:r>
        <w:rPr>
          <w:rFonts w:ascii="楷体" w:hAnsi="楷体" w:eastAsia="楷体" w:cs="方正仿宋_GBK"/>
          <w:sz w:val="32"/>
          <w:szCs w:val="32"/>
        </w:rPr>
        <w:t>）</w:t>
      </w:r>
      <w:r>
        <w:rPr>
          <w:rFonts w:hint="eastAsia" w:ascii="楷体" w:hAnsi="楷体" w:eastAsia="楷体" w:cs="方正仿宋_GBK"/>
          <w:sz w:val="32"/>
          <w:szCs w:val="32"/>
        </w:rPr>
        <w:t>主要技术内容</w:t>
      </w:r>
    </w:p>
    <w:p w14:paraId="0D4632ED">
      <w:pPr>
        <w:widowControl/>
        <w:spacing w:line="420" w:lineRule="atLeast"/>
        <w:ind w:firstLine="640" w:firstLineChars="200"/>
        <w:jc w:val="left"/>
        <w:rPr>
          <w:rFonts w:hint="eastAsia" w:ascii="方正仿宋简体" w:eastAsia="方正仿宋简体"/>
          <w:sz w:val="32"/>
          <w:szCs w:val="32"/>
        </w:rPr>
      </w:pPr>
      <w:r>
        <w:rPr>
          <w:rFonts w:hint="eastAsia" w:ascii="方正仿宋简体" w:eastAsia="方正仿宋简体"/>
          <w:sz w:val="32"/>
          <w:szCs w:val="32"/>
        </w:rPr>
        <w:t>本标准共包含5章内容，具体如下：</w:t>
      </w:r>
    </w:p>
    <w:p w14:paraId="591C6060">
      <w:pPr>
        <w:widowControl/>
        <w:spacing w:line="420" w:lineRule="atLeast"/>
        <w:ind w:firstLine="640" w:firstLineChars="200"/>
        <w:jc w:val="left"/>
        <w:rPr>
          <w:rFonts w:hint="eastAsia" w:ascii="方正仿宋简体" w:eastAsia="方正仿宋简体"/>
          <w:sz w:val="32"/>
          <w:szCs w:val="32"/>
        </w:rPr>
      </w:pPr>
      <w:r>
        <w:rPr>
          <w:rFonts w:hint="eastAsia" w:ascii="方正仿宋简体" w:eastAsia="方正仿宋简体"/>
          <w:sz w:val="32"/>
          <w:szCs w:val="32"/>
        </w:rPr>
        <w:t>1.范围</w:t>
      </w:r>
    </w:p>
    <w:p w14:paraId="30AA1825">
      <w:pPr>
        <w:widowControl/>
        <w:spacing w:line="420" w:lineRule="atLeast"/>
        <w:ind w:firstLine="640" w:firstLineChars="200"/>
        <w:jc w:val="left"/>
        <w:rPr>
          <w:rFonts w:hint="eastAsia" w:ascii="方正仿宋简体" w:eastAsia="方正仿宋简体"/>
          <w:sz w:val="32"/>
          <w:szCs w:val="32"/>
        </w:rPr>
      </w:pPr>
      <w:r>
        <w:rPr>
          <w:rFonts w:hint="eastAsia" w:ascii="方正仿宋简体" w:eastAsia="方正仿宋简体"/>
          <w:sz w:val="32"/>
          <w:szCs w:val="32"/>
        </w:rPr>
        <w:t>本文件规定了30个产品和宾馆、商场的单位能源消耗（以下简称能耗）的术语和定义、统计范围和计算方法、标准煤折算和能耗先进值。</w:t>
      </w:r>
    </w:p>
    <w:p w14:paraId="086D120B">
      <w:pPr>
        <w:spacing w:line="360" w:lineRule="auto"/>
        <w:ind w:firstLine="640" w:firstLineChars="200"/>
        <w:outlineLvl w:val="1"/>
        <w:rPr>
          <w:rFonts w:hint="eastAsia" w:ascii="方正仿宋简体" w:hAnsi="宋体" w:eastAsia="方正仿宋简体"/>
          <w:sz w:val="24"/>
        </w:rPr>
      </w:pPr>
      <w:r>
        <w:rPr>
          <w:rFonts w:hint="eastAsia" w:ascii="方正仿宋简体" w:eastAsia="方正仿宋简体"/>
          <w:sz w:val="32"/>
          <w:szCs w:val="32"/>
        </w:rPr>
        <w:t>本文件适用于用能单位开展能效对标、节能诊断等节能工作。</w:t>
      </w:r>
    </w:p>
    <w:p w14:paraId="5B59F83A">
      <w:pPr>
        <w:widowControl/>
        <w:spacing w:line="420" w:lineRule="atLeast"/>
        <w:ind w:firstLine="640" w:firstLineChars="200"/>
        <w:jc w:val="left"/>
        <w:rPr>
          <w:rFonts w:hint="eastAsia" w:ascii="方正仿宋简体" w:eastAsia="方正仿宋简体"/>
          <w:sz w:val="32"/>
          <w:szCs w:val="32"/>
        </w:rPr>
      </w:pPr>
      <w:r>
        <w:rPr>
          <w:rFonts w:hint="eastAsia" w:ascii="方正仿宋简体" w:eastAsia="方正仿宋简体"/>
          <w:sz w:val="32"/>
          <w:szCs w:val="32"/>
        </w:rPr>
        <w:t>2.规范性引用文件</w:t>
      </w:r>
    </w:p>
    <w:p w14:paraId="2594A6CF">
      <w:pPr>
        <w:spacing w:line="360" w:lineRule="auto"/>
        <w:ind w:firstLine="640" w:firstLineChars="200"/>
        <w:outlineLvl w:val="1"/>
        <w:rPr>
          <w:rFonts w:hint="eastAsia" w:ascii="方正仿宋简体" w:eastAsia="方正仿宋简体"/>
          <w:sz w:val="32"/>
          <w:szCs w:val="32"/>
        </w:rPr>
      </w:pPr>
      <w:r>
        <w:rPr>
          <w:rFonts w:hint="eastAsia" w:ascii="方正仿宋简体" w:eastAsia="方正仿宋简体"/>
          <w:sz w:val="32"/>
          <w:szCs w:val="32"/>
        </w:rPr>
        <w:t>本文件的规范性引用文件有GB/T 213《煤的发热量测定方法》、GB/T 2589-2020《综合能耗计算通则》、GB 1535 《大豆油》、GB/T 28296《含镍生铁》、GB 28662-2012 《钢铁烧结、球团工业大气污染物排放标准》等。</w:t>
      </w:r>
    </w:p>
    <w:p w14:paraId="52D00F97">
      <w:pPr>
        <w:widowControl/>
        <w:spacing w:line="420" w:lineRule="atLeast"/>
        <w:ind w:firstLine="640" w:firstLineChars="200"/>
        <w:jc w:val="left"/>
        <w:rPr>
          <w:rFonts w:hint="eastAsia" w:ascii="方正仿宋简体" w:eastAsia="方正仿宋简体"/>
          <w:sz w:val="32"/>
          <w:szCs w:val="32"/>
        </w:rPr>
      </w:pPr>
      <w:r>
        <w:rPr>
          <w:rFonts w:hint="eastAsia" w:ascii="方正仿宋简体" w:eastAsia="方正仿宋简体"/>
          <w:sz w:val="32"/>
          <w:szCs w:val="32"/>
        </w:rPr>
        <w:t>3.术语和定义</w:t>
      </w:r>
    </w:p>
    <w:p w14:paraId="12F2FD22">
      <w:pPr>
        <w:widowControl/>
        <w:spacing w:line="420" w:lineRule="atLeast"/>
        <w:ind w:firstLine="640" w:firstLineChars="200"/>
        <w:jc w:val="left"/>
        <w:rPr>
          <w:rFonts w:hint="eastAsia" w:ascii="方正仿宋简体" w:eastAsia="方正仿宋简体"/>
          <w:sz w:val="32"/>
          <w:szCs w:val="32"/>
        </w:rPr>
      </w:pPr>
      <w:r>
        <w:rPr>
          <w:rFonts w:hint="eastAsia" w:ascii="方正仿宋简体" w:eastAsia="方正仿宋简体"/>
          <w:sz w:val="32"/>
          <w:szCs w:val="32"/>
        </w:rPr>
        <w:t>分别界定了综合能耗、单位产品综合能耗，以及标准中涉及到的相关产品的术语和定义，综合能耗、单位产品综合能耗的定义来源于GB/T 2589-2020《综合能耗计算通则》中对于综合能耗、单位产品综合能耗的定义，标准中涉及到的相关产品定义来源于原产品对应的能耗限额标准文本。</w:t>
      </w:r>
    </w:p>
    <w:p w14:paraId="0EE5BCB3">
      <w:pPr>
        <w:widowControl/>
        <w:spacing w:line="420" w:lineRule="atLeast"/>
        <w:ind w:firstLine="640" w:firstLineChars="200"/>
        <w:jc w:val="left"/>
        <w:rPr>
          <w:rFonts w:hint="eastAsia" w:ascii="方正仿宋简体" w:eastAsia="方正仿宋简体"/>
          <w:sz w:val="32"/>
          <w:szCs w:val="32"/>
        </w:rPr>
      </w:pPr>
      <w:r>
        <w:rPr>
          <w:rFonts w:hint="eastAsia" w:ascii="方正仿宋简体" w:eastAsia="方正仿宋简体"/>
          <w:sz w:val="32"/>
          <w:szCs w:val="32"/>
        </w:rPr>
        <w:t>4.统计范围和计算方法</w:t>
      </w:r>
    </w:p>
    <w:p w14:paraId="1E84CD1C">
      <w:pPr>
        <w:tabs>
          <w:tab w:val="left" w:pos="4536"/>
        </w:tabs>
        <w:spacing w:line="360" w:lineRule="auto"/>
        <w:ind w:firstLine="640" w:firstLineChars="200"/>
        <w:rPr>
          <w:rFonts w:hint="eastAsia" w:ascii="方正仿宋简体" w:eastAsia="方正仿宋简体"/>
          <w:sz w:val="32"/>
          <w:szCs w:val="32"/>
        </w:rPr>
      </w:pPr>
      <w:r>
        <w:rPr>
          <w:rFonts w:hint="eastAsia" w:ascii="方正仿宋简体" w:eastAsia="方正仿宋简体"/>
          <w:sz w:val="32"/>
          <w:szCs w:val="32"/>
        </w:rPr>
        <w:t>对《单位能耗限额统计范围和计算方法》DB32/T 2061-2018涉及的41个产品或场所进行梳理，对照新发布、新修订的国家单位产品能耗限额标准、规范体条件等文件，与《单位能耗限额》DB32 2060同步修订，保留地方能源消耗限额指标具有先进性的指标、修订部分落后于国家单位产品能耗限额标准的指标、废止落后于国家单位产品能耗限额标准的指标，删除部分被替代的能源消耗限额标准，最终形成本次修订后的30个产品和商场、宾馆的单位能耗限额统计范围和计算方法。</w:t>
      </w:r>
    </w:p>
    <w:p w14:paraId="67BD79D8">
      <w:pPr>
        <w:pStyle w:val="2"/>
        <w:ind w:firstLine="640" w:firstLineChars="200"/>
        <w:rPr>
          <w:rFonts w:hint="eastAsia" w:ascii="方正仿宋简体" w:eastAsia="方正仿宋简体"/>
          <w:spacing w:val="0"/>
          <w:sz w:val="32"/>
          <w:szCs w:val="32"/>
        </w:rPr>
      </w:pPr>
      <w:r>
        <w:rPr>
          <w:rFonts w:hint="eastAsia" w:ascii="方正仿宋简体" w:eastAsia="方正仿宋简体"/>
          <w:spacing w:val="0"/>
          <w:sz w:val="32"/>
          <w:szCs w:val="32"/>
        </w:rPr>
        <w:t>本标准是《单位能耗限额》DB32/ 2060的配套标准，本次修订内容与《单位能耗限额》DB32/ 2060涉及的主要内容同步，</w:t>
      </w:r>
      <w:r>
        <w:rPr>
          <w:rFonts w:hint="eastAsia" w:ascii="方正仿宋简体" w:eastAsia="方正仿宋简体"/>
          <w:sz w:val="32"/>
          <w:szCs w:val="32"/>
        </w:rPr>
        <w:t>具体如下：</w:t>
      </w:r>
    </w:p>
    <w:p w14:paraId="6AF84907">
      <w:pPr>
        <w:pStyle w:val="2"/>
        <w:ind w:firstLine="640" w:firstLineChars="200"/>
        <w:rPr>
          <w:rFonts w:hint="eastAsia" w:ascii="方正仿宋简体" w:eastAsia="方正仿宋简体"/>
          <w:spacing w:val="0"/>
          <w:sz w:val="32"/>
          <w:szCs w:val="32"/>
        </w:rPr>
      </w:pPr>
      <w:r>
        <w:rPr>
          <w:rFonts w:hint="eastAsia" w:ascii="方正仿宋简体" w:eastAsia="方正仿宋简体"/>
          <w:spacing w:val="0"/>
          <w:sz w:val="32"/>
          <w:szCs w:val="32"/>
        </w:rPr>
        <w:t>（1）删减内容</w:t>
      </w:r>
    </w:p>
    <w:p w14:paraId="52169185">
      <w:pPr>
        <w:widowControl/>
        <w:spacing w:line="420" w:lineRule="atLeast"/>
        <w:ind w:firstLine="640" w:firstLineChars="200"/>
        <w:jc w:val="left"/>
        <w:rPr>
          <w:rFonts w:hint="eastAsia" w:ascii="方正仿宋简体" w:eastAsia="方正仿宋简体"/>
          <w:sz w:val="32"/>
          <w:szCs w:val="32"/>
        </w:rPr>
      </w:pPr>
      <w:r>
        <w:rPr>
          <w:rFonts w:hint="eastAsia" w:ascii="方正仿宋简体" w:eastAsia="方正仿宋简体"/>
          <w:sz w:val="32"/>
          <w:szCs w:val="32"/>
        </w:rPr>
        <w:t>《单位能耗限额》DB32/ 2060修订中废止了“日用陶瓷”“热电联产”“轮胎”“炭黑”“纯碱”“聚酯纤维”“炼油”“乙烯”，删减了被《公共机构能耗定额及计算方法》（DB32/T 4001-2021）替代的“行政机关”和“普通高校”，本标准修订时删除了上述废止和删减标准对应的《单位能耗限额统计范围和计算方法》相关内容。</w:t>
      </w:r>
    </w:p>
    <w:p w14:paraId="46D97E72">
      <w:pPr>
        <w:pStyle w:val="2"/>
        <w:ind w:firstLine="640" w:firstLineChars="200"/>
        <w:rPr>
          <w:rFonts w:hint="eastAsia" w:ascii="方正仿宋简体" w:eastAsia="方正仿宋简体"/>
          <w:spacing w:val="0"/>
          <w:sz w:val="32"/>
          <w:szCs w:val="32"/>
        </w:rPr>
      </w:pPr>
      <w:r>
        <w:rPr>
          <w:rFonts w:hint="eastAsia" w:ascii="方正仿宋简体" w:eastAsia="方正仿宋简体"/>
          <w:spacing w:val="0"/>
          <w:sz w:val="32"/>
          <w:szCs w:val="32"/>
        </w:rPr>
        <w:t>（2）内容修订</w:t>
      </w:r>
    </w:p>
    <w:p w14:paraId="20D4C12B">
      <w:pPr>
        <w:pStyle w:val="2"/>
        <w:ind w:firstLine="640" w:firstLineChars="200"/>
        <w:rPr>
          <w:rFonts w:hint="eastAsia" w:ascii="方正仿宋简体" w:hAnsi="Calibri" w:eastAsia="方正仿宋简体" w:cs="Calibri"/>
          <w:spacing w:val="0"/>
          <w:sz w:val="32"/>
          <w:szCs w:val="32"/>
        </w:rPr>
      </w:pPr>
      <w:r>
        <w:rPr>
          <w:rFonts w:hint="eastAsia" w:ascii="方正仿宋简体" w:hAnsi="Calibri" w:eastAsia="方正仿宋简体" w:cs="Calibri"/>
          <w:spacing w:val="0"/>
          <w:sz w:val="32"/>
          <w:szCs w:val="32"/>
        </w:rPr>
        <w:t>①将标准中代表同一含义的不同字母符号进行全文统一。</w:t>
      </w:r>
    </w:p>
    <w:p w14:paraId="1D035BBA">
      <w:pPr>
        <w:pStyle w:val="2"/>
        <w:ind w:firstLine="640" w:firstLineChars="200"/>
        <w:rPr>
          <w:rFonts w:hint="eastAsia" w:ascii="方正仿宋简体" w:hAnsi="Calibri" w:eastAsia="方正仿宋简体" w:cs="Calibri"/>
          <w:spacing w:val="0"/>
          <w:sz w:val="32"/>
          <w:szCs w:val="32"/>
        </w:rPr>
      </w:pPr>
      <w:r>
        <w:rPr>
          <w:rFonts w:hint="eastAsia" w:ascii="方正仿宋简体" w:hAnsi="Calibri" w:eastAsia="方正仿宋简体" w:cs="Calibri"/>
          <w:spacing w:val="0"/>
          <w:sz w:val="32"/>
          <w:szCs w:val="32"/>
        </w:rPr>
        <w:t>②铸铁件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034"/>
        <w:gridCol w:w="1066"/>
        <w:gridCol w:w="6262"/>
      </w:tblGrid>
      <w:tr w14:paraId="1C85E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shd w:val="clear" w:color="auto" w:fill="auto"/>
          </w:tcPr>
          <w:p w14:paraId="24E29E87">
            <w:pPr>
              <w:pStyle w:val="2"/>
              <w:jc w:val="center"/>
              <w:rPr>
                <w:rFonts w:hint="eastAsia" w:ascii="方正仿宋简体" w:eastAsia="方正仿宋简体"/>
                <w:b/>
                <w:bCs/>
                <w:spacing w:val="0"/>
                <w:sz w:val="24"/>
              </w:rPr>
            </w:pPr>
            <w:r>
              <w:rPr>
                <w:rFonts w:hint="eastAsia" w:ascii="方正仿宋简体" w:eastAsia="方正仿宋简体"/>
                <w:b/>
                <w:bCs/>
                <w:spacing w:val="0"/>
                <w:sz w:val="24"/>
              </w:rPr>
              <w:t>序号</w:t>
            </w:r>
          </w:p>
        </w:tc>
        <w:tc>
          <w:tcPr>
            <w:tcW w:w="1034" w:type="dxa"/>
            <w:shd w:val="clear" w:color="auto" w:fill="auto"/>
          </w:tcPr>
          <w:p w14:paraId="24E85E1D">
            <w:pPr>
              <w:pStyle w:val="2"/>
              <w:jc w:val="center"/>
              <w:rPr>
                <w:rFonts w:hint="eastAsia" w:ascii="方正仿宋简体" w:eastAsia="方正仿宋简体"/>
                <w:b/>
                <w:bCs/>
                <w:spacing w:val="0"/>
                <w:sz w:val="24"/>
              </w:rPr>
            </w:pPr>
            <w:r>
              <w:rPr>
                <w:rFonts w:hint="eastAsia" w:ascii="方正仿宋简体" w:eastAsia="方正仿宋简体"/>
                <w:b/>
                <w:bCs/>
                <w:spacing w:val="0"/>
                <w:sz w:val="24"/>
              </w:rPr>
              <w:t>原条款</w:t>
            </w:r>
          </w:p>
        </w:tc>
        <w:tc>
          <w:tcPr>
            <w:tcW w:w="1066" w:type="dxa"/>
            <w:shd w:val="clear" w:color="auto" w:fill="auto"/>
          </w:tcPr>
          <w:p w14:paraId="016F3370">
            <w:pPr>
              <w:pStyle w:val="2"/>
              <w:jc w:val="center"/>
              <w:rPr>
                <w:rFonts w:hint="eastAsia" w:ascii="方正仿宋简体" w:eastAsia="方正仿宋简体"/>
                <w:b/>
                <w:bCs/>
                <w:spacing w:val="0"/>
                <w:sz w:val="24"/>
              </w:rPr>
            </w:pPr>
            <w:r>
              <w:rPr>
                <w:rFonts w:hint="eastAsia" w:ascii="方正仿宋简体" w:eastAsia="方正仿宋简体"/>
                <w:b/>
                <w:bCs/>
                <w:spacing w:val="0"/>
                <w:sz w:val="24"/>
              </w:rPr>
              <w:t>现条款</w:t>
            </w:r>
          </w:p>
        </w:tc>
        <w:tc>
          <w:tcPr>
            <w:tcW w:w="6262" w:type="dxa"/>
            <w:shd w:val="clear" w:color="auto" w:fill="auto"/>
          </w:tcPr>
          <w:p w14:paraId="22150C4F">
            <w:pPr>
              <w:pStyle w:val="2"/>
              <w:jc w:val="center"/>
              <w:rPr>
                <w:rFonts w:hint="eastAsia" w:ascii="方正仿宋简体" w:eastAsia="方正仿宋简体"/>
                <w:b/>
                <w:bCs/>
                <w:spacing w:val="0"/>
                <w:sz w:val="24"/>
              </w:rPr>
            </w:pPr>
            <w:r>
              <w:rPr>
                <w:rFonts w:hint="eastAsia" w:ascii="方正仿宋简体" w:eastAsia="方正仿宋简体"/>
                <w:b/>
                <w:bCs/>
                <w:spacing w:val="0"/>
                <w:sz w:val="24"/>
              </w:rPr>
              <w:t>修改内容</w:t>
            </w:r>
          </w:p>
        </w:tc>
      </w:tr>
      <w:tr w14:paraId="2D6D8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shd w:val="clear" w:color="auto" w:fill="auto"/>
          </w:tcPr>
          <w:p w14:paraId="578E8D03">
            <w:pPr>
              <w:pStyle w:val="2"/>
              <w:jc w:val="center"/>
              <w:rPr>
                <w:rFonts w:hint="eastAsia" w:ascii="方正仿宋简体" w:eastAsia="方正仿宋简体"/>
                <w:spacing w:val="0"/>
                <w:sz w:val="24"/>
              </w:rPr>
            </w:pPr>
            <w:r>
              <w:rPr>
                <w:rFonts w:hint="eastAsia" w:ascii="方正仿宋简体" w:eastAsia="方正仿宋简体"/>
                <w:spacing w:val="0"/>
                <w:sz w:val="24"/>
              </w:rPr>
              <w:t>1</w:t>
            </w:r>
          </w:p>
        </w:tc>
        <w:tc>
          <w:tcPr>
            <w:tcW w:w="1034" w:type="dxa"/>
            <w:shd w:val="clear" w:color="auto" w:fill="auto"/>
          </w:tcPr>
          <w:p w14:paraId="12C4904F">
            <w:pPr>
              <w:pStyle w:val="2"/>
              <w:rPr>
                <w:rFonts w:hint="eastAsia" w:ascii="方正仿宋简体" w:eastAsia="方正仿宋简体"/>
                <w:spacing w:val="0"/>
                <w:sz w:val="24"/>
              </w:rPr>
            </w:pPr>
            <w:r>
              <w:rPr>
                <w:rFonts w:hint="eastAsia" w:ascii="方正仿宋简体" w:eastAsia="方正仿宋简体"/>
                <w:spacing w:val="0"/>
                <w:sz w:val="24"/>
              </w:rPr>
              <w:t>4.30.1.1</w:t>
            </w:r>
          </w:p>
        </w:tc>
        <w:tc>
          <w:tcPr>
            <w:tcW w:w="1066" w:type="dxa"/>
            <w:shd w:val="clear" w:color="auto" w:fill="auto"/>
          </w:tcPr>
          <w:p w14:paraId="19E0EB30">
            <w:pPr>
              <w:pStyle w:val="2"/>
              <w:rPr>
                <w:rFonts w:hint="eastAsia" w:ascii="方正仿宋简体" w:eastAsia="方正仿宋简体"/>
                <w:spacing w:val="0"/>
                <w:sz w:val="24"/>
              </w:rPr>
            </w:pPr>
            <w:r>
              <w:rPr>
                <w:rFonts w:hint="eastAsia" w:ascii="方正仿宋简体" w:eastAsia="方正仿宋简体"/>
                <w:spacing w:val="0"/>
                <w:sz w:val="24"/>
              </w:rPr>
              <w:t>4.23.2.1</w:t>
            </w:r>
          </w:p>
        </w:tc>
        <w:tc>
          <w:tcPr>
            <w:tcW w:w="6262" w:type="dxa"/>
            <w:shd w:val="clear" w:color="auto" w:fill="auto"/>
          </w:tcPr>
          <w:p w14:paraId="64AB44A9">
            <w:pPr>
              <w:pStyle w:val="2"/>
              <w:rPr>
                <w:rFonts w:hint="eastAsia" w:ascii="方正仿宋简体" w:eastAsia="方正仿宋简体"/>
                <w:spacing w:val="0"/>
                <w:sz w:val="24"/>
              </w:rPr>
            </w:pPr>
            <w:r>
              <w:rPr>
                <w:rFonts w:hint="eastAsia" w:ascii="方正仿宋简体" w:eastAsia="方正仿宋简体"/>
                <w:spacing w:val="0"/>
                <w:sz w:val="24"/>
              </w:rPr>
              <w:t>1.将标题的综合电耗改为综合能耗；</w:t>
            </w:r>
          </w:p>
          <w:p w14:paraId="1975F864">
            <w:pPr>
              <w:pStyle w:val="2"/>
              <w:rPr>
                <w:rFonts w:hint="eastAsia" w:ascii="方正仿宋简体" w:eastAsia="方正仿宋简体"/>
                <w:spacing w:val="0"/>
                <w:sz w:val="24"/>
              </w:rPr>
            </w:pPr>
            <w:r>
              <w:rPr>
                <w:rFonts w:hint="eastAsia" w:ascii="方正仿宋简体" w:eastAsia="方正仿宋简体"/>
                <w:spacing w:val="0"/>
                <w:sz w:val="24"/>
              </w:rPr>
              <w:t>2.将环保设施耗能纳入综合能耗统计范围；</w:t>
            </w:r>
          </w:p>
          <w:p w14:paraId="5DC6C481">
            <w:pPr>
              <w:pStyle w:val="2"/>
              <w:rPr>
                <w:rFonts w:hint="eastAsia" w:ascii="方正仿宋简体" w:eastAsia="方正仿宋简体"/>
                <w:spacing w:val="0"/>
                <w:sz w:val="24"/>
              </w:rPr>
            </w:pPr>
            <w:r>
              <w:rPr>
                <w:rFonts w:hint="eastAsia" w:ascii="方正仿宋简体" w:eastAsia="方正仿宋简体"/>
                <w:spacing w:val="0"/>
                <w:sz w:val="24"/>
              </w:rPr>
              <w:t>3.增加了不适用本标准的生产工艺和生产企业的注释。</w:t>
            </w:r>
          </w:p>
        </w:tc>
      </w:tr>
      <w:tr w14:paraId="61356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shd w:val="clear" w:color="auto" w:fill="auto"/>
          </w:tcPr>
          <w:p w14:paraId="5D02506D">
            <w:pPr>
              <w:pStyle w:val="2"/>
              <w:jc w:val="center"/>
              <w:rPr>
                <w:rFonts w:hint="eastAsia" w:ascii="方正仿宋简体" w:eastAsia="方正仿宋简体"/>
                <w:spacing w:val="0"/>
                <w:sz w:val="24"/>
              </w:rPr>
            </w:pPr>
            <w:r>
              <w:rPr>
                <w:rFonts w:hint="eastAsia" w:ascii="方正仿宋简体" w:eastAsia="方正仿宋简体"/>
                <w:spacing w:val="0"/>
                <w:sz w:val="24"/>
              </w:rPr>
              <w:t>2</w:t>
            </w:r>
          </w:p>
        </w:tc>
        <w:tc>
          <w:tcPr>
            <w:tcW w:w="1034" w:type="dxa"/>
            <w:shd w:val="clear" w:color="auto" w:fill="auto"/>
          </w:tcPr>
          <w:p w14:paraId="3CD449B4">
            <w:pPr>
              <w:pStyle w:val="2"/>
              <w:rPr>
                <w:rFonts w:hint="eastAsia" w:ascii="方正仿宋简体" w:eastAsia="方正仿宋简体"/>
                <w:spacing w:val="0"/>
                <w:sz w:val="24"/>
              </w:rPr>
            </w:pPr>
            <w:r>
              <w:rPr>
                <w:rFonts w:hint="eastAsia" w:ascii="方正仿宋简体" w:eastAsia="方正仿宋简体"/>
                <w:spacing w:val="0"/>
                <w:sz w:val="24"/>
              </w:rPr>
              <w:t>4.30.1.2</w:t>
            </w:r>
          </w:p>
        </w:tc>
        <w:tc>
          <w:tcPr>
            <w:tcW w:w="1066" w:type="dxa"/>
            <w:shd w:val="clear" w:color="auto" w:fill="auto"/>
          </w:tcPr>
          <w:p w14:paraId="371C4BA4">
            <w:pPr>
              <w:pStyle w:val="2"/>
              <w:rPr>
                <w:rFonts w:hint="eastAsia" w:ascii="方正仿宋简体" w:eastAsia="方正仿宋简体"/>
                <w:spacing w:val="0"/>
                <w:sz w:val="24"/>
              </w:rPr>
            </w:pPr>
            <w:r>
              <w:rPr>
                <w:rFonts w:hint="eastAsia" w:ascii="方正仿宋简体" w:eastAsia="方正仿宋简体"/>
                <w:spacing w:val="0"/>
                <w:sz w:val="24"/>
              </w:rPr>
              <w:t>4.23.2.2</w:t>
            </w:r>
          </w:p>
        </w:tc>
        <w:tc>
          <w:tcPr>
            <w:tcW w:w="6262" w:type="dxa"/>
            <w:shd w:val="clear" w:color="auto" w:fill="auto"/>
          </w:tcPr>
          <w:p w14:paraId="538EB6D5">
            <w:pPr>
              <w:pStyle w:val="2"/>
              <w:rPr>
                <w:rFonts w:hint="eastAsia" w:ascii="方正仿宋简体" w:eastAsia="方正仿宋简体"/>
                <w:spacing w:val="0"/>
                <w:sz w:val="24"/>
              </w:rPr>
            </w:pPr>
            <w:r>
              <w:rPr>
                <w:rFonts w:hint="eastAsia" w:ascii="方正仿宋简体" w:eastAsia="方正仿宋简体"/>
                <w:spacing w:val="0"/>
                <w:sz w:val="24"/>
              </w:rPr>
              <w:t>1.在原材料中增加了铁屑和合金；</w:t>
            </w:r>
          </w:p>
          <w:p w14:paraId="2508E492">
            <w:pPr>
              <w:pStyle w:val="2"/>
              <w:rPr>
                <w:rFonts w:hint="eastAsia" w:ascii="方正仿宋简体" w:eastAsia="方正仿宋简体"/>
                <w:spacing w:val="0"/>
                <w:sz w:val="24"/>
              </w:rPr>
            </w:pPr>
            <w:r>
              <w:rPr>
                <w:rFonts w:hint="eastAsia" w:ascii="方正仿宋简体" w:eastAsia="方正仿宋简体"/>
                <w:spacing w:val="0"/>
                <w:sz w:val="24"/>
              </w:rPr>
              <w:t>2.增加了电炉用电计量点的注释。</w:t>
            </w:r>
          </w:p>
        </w:tc>
      </w:tr>
      <w:tr w14:paraId="55DC3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shd w:val="clear" w:color="auto" w:fill="auto"/>
          </w:tcPr>
          <w:p w14:paraId="594ABDE0">
            <w:pPr>
              <w:pStyle w:val="2"/>
              <w:jc w:val="center"/>
              <w:rPr>
                <w:rFonts w:hint="eastAsia" w:ascii="方正仿宋简体" w:eastAsia="方正仿宋简体"/>
                <w:spacing w:val="0"/>
                <w:sz w:val="24"/>
              </w:rPr>
            </w:pPr>
            <w:r>
              <w:rPr>
                <w:rFonts w:hint="eastAsia" w:ascii="方正仿宋简体" w:eastAsia="方正仿宋简体"/>
                <w:spacing w:val="0"/>
                <w:sz w:val="24"/>
              </w:rPr>
              <w:t>3</w:t>
            </w:r>
          </w:p>
        </w:tc>
        <w:tc>
          <w:tcPr>
            <w:tcW w:w="1034" w:type="dxa"/>
            <w:shd w:val="clear" w:color="auto" w:fill="auto"/>
          </w:tcPr>
          <w:p w14:paraId="23630F59">
            <w:pPr>
              <w:pStyle w:val="2"/>
              <w:rPr>
                <w:rFonts w:hint="eastAsia" w:ascii="方正仿宋简体" w:eastAsia="方正仿宋简体"/>
                <w:spacing w:val="0"/>
                <w:sz w:val="24"/>
              </w:rPr>
            </w:pPr>
            <w:r>
              <w:rPr>
                <w:rFonts w:hint="eastAsia" w:ascii="方正仿宋简体" w:eastAsia="方正仿宋简体"/>
                <w:spacing w:val="0"/>
                <w:sz w:val="24"/>
              </w:rPr>
              <w:t>4.30.2.3</w:t>
            </w:r>
          </w:p>
        </w:tc>
        <w:tc>
          <w:tcPr>
            <w:tcW w:w="1066" w:type="dxa"/>
            <w:shd w:val="clear" w:color="auto" w:fill="auto"/>
          </w:tcPr>
          <w:p w14:paraId="2A507C0F">
            <w:pPr>
              <w:pStyle w:val="2"/>
              <w:rPr>
                <w:rFonts w:hint="eastAsia" w:ascii="方正仿宋简体" w:eastAsia="方正仿宋简体"/>
                <w:spacing w:val="0"/>
                <w:sz w:val="24"/>
              </w:rPr>
            </w:pPr>
            <w:r>
              <w:rPr>
                <w:rFonts w:hint="eastAsia" w:ascii="方正仿宋简体" w:eastAsia="方正仿宋简体"/>
                <w:spacing w:val="0"/>
                <w:sz w:val="24"/>
              </w:rPr>
              <w:t>4.23.3.3</w:t>
            </w:r>
          </w:p>
        </w:tc>
        <w:tc>
          <w:tcPr>
            <w:tcW w:w="6262" w:type="dxa"/>
            <w:shd w:val="clear" w:color="auto" w:fill="auto"/>
          </w:tcPr>
          <w:p w14:paraId="6CB42429">
            <w:pPr>
              <w:pStyle w:val="2"/>
              <w:rPr>
                <w:rFonts w:hint="eastAsia" w:ascii="方正仿宋简体" w:eastAsia="方正仿宋简体"/>
                <w:spacing w:val="0"/>
                <w:sz w:val="24"/>
              </w:rPr>
            </w:pPr>
            <w:r>
              <w:rPr>
                <w:rFonts w:hint="eastAsia" w:ascii="方正仿宋简体" w:eastAsia="方正仿宋简体"/>
                <w:spacing w:val="0"/>
                <w:sz w:val="24"/>
              </w:rPr>
              <w:t>铸铁件重量修正系数增加C≤1kg一档，重量修正系数为1.25。</w:t>
            </w:r>
          </w:p>
        </w:tc>
      </w:tr>
      <w:tr w14:paraId="444CD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3" w:type="dxa"/>
            <w:shd w:val="clear" w:color="auto" w:fill="auto"/>
          </w:tcPr>
          <w:p w14:paraId="7CE341B0">
            <w:pPr>
              <w:pStyle w:val="2"/>
              <w:jc w:val="center"/>
              <w:rPr>
                <w:rFonts w:hint="eastAsia" w:ascii="方正仿宋简体" w:eastAsia="方正仿宋简体"/>
                <w:spacing w:val="0"/>
                <w:sz w:val="24"/>
              </w:rPr>
            </w:pPr>
            <w:r>
              <w:rPr>
                <w:rFonts w:hint="eastAsia" w:ascii="方正仿宋简体" w:eastAsia="方正仿宋简体"/>
                <w:spacing w:val="0"/>
                <w:sz w:val="24"/>
              </w:rPr>
              <w:t>4</w:t>
            </w:r>
          </w:p>
        </w:tc>
        <w:tc>
          <w:tcPr>
            <w:tcW w:w="1034" w:type="dxa"/>
            <w:shd w:val="clear" w:color="auto" w:fill="auto"/>
          </w:tcPr>
          <w:p w14:paraId="355BF2E0">
            <w:pPr>
              <w:pStyle w:val="2"/>
              <w:rPr>
                <w:rFonts w:hint="eastAsia" w:ascii="方正仿宋简体" w:eastAsia="方正仿宋简体"/>
                <w:spacing w:val="0"/>
                <w:sz w:val="24"/>
              </w:rPr>
            </w:pPr>
            <w:r>
              <w:rPr>
                <w:rFonts w:hint="eastAsia" w:ascii="方正仿宋简体" w:eastAsia="方正仿宋简体"/>
                <w:spacing w:val="0"/>
                <w:sz w:val="24"/>
              </w:rPr>
              <w:t>4.30.2.5</w:t>
            </w:r>
          </w:p>
        </w:tc>
        <w:tc>
          <w:tcPr>
            <w:tcW w:w="1066" w:type="dxa"/>
            <w:shd w:val="clear" w:color="auto" w:fill="auto"/>
          </w:tcPr>
          <w:p w14:paraId="2381519F">
            <w:pPr>
              <w:pStyle w:val="2"/>
              <w:rPr>
                <w:rFonts w:hint="eastAsia" w:ascii="方正仿宋简体" w:eastAsia="方正仿宋简体"/>
                <w:spacing w:val="0"/>
                <w:sz w:val="24"/>
              </w:rPr>
            </w:pPr>
            <w:r>
              <w:rPr>
                <w:rFonts w:hint="eastAsia" w:ascii="方正仿宋简体" w:eastAsia="方正仿宋简体"/>
                <w:spacing w:val="0"/>
                <w:sz w:val="24"/>
              </w:rPr>
              <w:t>4.23.3.5</w:t>
            </w:r>
          </w:p>
        </w:tc>
        <w:tc>
          <w:tcPr>
            <w:tcW w:w="6262" w:type="dxa"/>
            <w:shd w:val="clear" w:color="auto" w:fill="auto"/>
          </w:tcPr>
          <w:p w14:paraId="3324F6DC">
            <w:pPr>
              <w:pStyle w:val="2"/>
              <w:rPr>
                <w:rFonts w:hint="eastAsia" w:ascii="方正仿宋简体" w:eastAsia="方正仿宋简体"/>
                <w:spacing w:val="0"/>
                <w:sz w:val="24"/>
              </w:rPr>
            </w:pPr>
            <w:r>
              <w:rPr>
                <w:rFonts w:hint="eastAsia" w:ascii="方正仿宋简体" w:eastAsia="方正仿宋简体"/>
                <w:spacing w:val="0"/>
                <w:sz w:val="24"/>
              </w:rPr>
              <w:t>1.表格中增加“有除尘装置的电炉修正系数，该系数加0.015”；</w:t>
            </w:r>
          </w:p>
          <w:p w14:paraId="2C1F354F">
            <w:pPr>
              <w:pStyle w:val="2"/>
              <w:rPr>
                <w:rFonts w:hint="eastAsia" w:ascii="方正仿宋简体" w:eastAsia="方正仿宋简体"/>
                <w:spacing w:val="0"/>
                <w:sz w:val="24"/>
              </w:rPr>
            </w:pPr>
            <w:r>
              <w:rPr>
                <w:rFonts w:hint="eastAsia" w:ascii="方正仿宋简体" w:eastAsia="方正仿宋简体"/>
                <w:spacing w:val="0"/>
                <w:sz w:val="24"/>
              </w:rPr>
              <w:t>2.增加表后注释“采用冲天炉进行铁水熔炼、电炉（本标准所称电炉是指感应电炉，下同）进行铁水保温和成分控制的熔炼方式。”</w:t>
            </w:r>
          </w:p>
        </w:tc>
      </w:tr>
    </w:tbl>
    <w:p w14:paraId="526B9FE3">
      <w:pPr>
        <w:pStyle w:val="2"/>
        <w:ind w:firstLine="640" w:firstLineChars="200"/>
        <w:rPr>
          <w:rFonts w:hint="eastAsia" w:ascii="方正仿宋简体" w:hAnsi="Calibri" w:eastAsia="方正仿宋简体" w:cs="Calibri"/>
          <w:spacing w:val="0"/>
          <w:sz w:val="32"/>
          <w:szCs w:val="32"/>
        </w:rPr>
      </w:pPr>
      <w:r>
        <w:rPr>
          <w:rFonts w:hint="eastAsia" w:ascii="方正仿宋简体" w:hAnsi="Calibri" w:eastAsia="方正仿宋简体" w:cs="Calibri"/>
          <w:spacing w:val="0"/>
          <w:sz w:val="32"/>
          <w:szCs w:val="32"/>
        </w:rPr>
        <w:t>③铝合金铸件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1083"/>
        <w:gridCol w:w="1017"/>
        <w:gridCol w:w="6385"/>
      </w:tblGrid>
      <w:tr w14:paraId="67444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27" w:type="dxa"/>
            <w:shd w:val="clear" w:color="auto" w:fill="auto"/>
            <w:vAlign w:val="center"/>
          </w:tcPr>
          <w:p w14:paraId="05E1B16B">
            <w:pPr>
              <w:pStyle w:val="2"/>
              <w:jc w:val="center"/>
              <w:rPr>
                <w:rFonts w:hint="eastAsia" w:ascii="方正仿宋简体" w:eastAsia="方正仿宋简体"/>
                <w:b/>
                <w:bCs/>
                <w:spacing w:val="0"/>
                <w:sz w:val="24"/>
              </w:rPr>
            </w:pPr>
            <w:r>
              <w:rPr>
                <w:rFonts w:hint="eastAsia" w:ascii="方正仿宋简体" w:eastAsia="方正仿宋简体"/>
                <w:b/>
                <w:bCs/>
                <w:spacing w:val="0"/>
                <w:sz w:val="24"/>
              </w:rPr>
              <w:t>序号</w:t>
            </w:r>
          </w:p>
        </w:tc>
        <w:tc>
          <w:tcPr>
            <w:tcW w:w="1083" w:type="dxa"/>
            <w:shd w:val="clear" w:color="auto" w:fill="auto"/>
            <w:vAlign w:val="center"/>
          </w:tcPr>
          <w:p w14:paraId="3E600334">
            <w:pPr>
              <w:pStyle w:val="2"/>
              <w:jc w:val="center"/>
              <w:rPr>
                <w:rFonts w:hint="eastAsia" w:ascii="方正仿宋简体" w:eastAsia="方正仿宋简体"/>
                <w:b/>
                <w:bCs/>
                <w:spacing w:val="0"/>
                <w:sz w:val="24"/>
              </w:rPr>
            </w:pPr>
            <w:r>
              <w:rPr>
                <w:rFonts w:hint="eastAsia" w:ascii="方正仿宋简体" w:eastAsia="方正仿宋简体"/>
                <w:b/>
                <w:bCs/>
                <w:spacing w:val="0"/>
                <w:sz w:val="24"/>
              </w:rPr>
              <w:t>原条款</w:t>
            </w:r>
          </w:p>
        </w:tc>
        <w:tc>
          <w:tcPr>
            <w:tcW w:w="1017" w:type="dxa"/>
            <w:shd w:val="clear" w:color="auto" w:fill="auto"/>
            <w:vAlign w:val="center"/>
          </w:tcPr>
          <w:p w14:paraId="0467B79D">
            <w:pPr>
              <w:pStyle w:val="2"/>
              <w:jc w:val="center"/>
              <w:rPr>
                <w:rFonts w:hint="eastAsia" w:ascii="方正仿宋简体" w:eastAsia="方正仿宋简体"/>
                <w:b/>
                <w:bCs/>
                <w:spacing w:val="0"/>
                <w:sz w:val="24"/>
              </w:rPr>
            </w:pPr>
            <w:r>
              <w:rPr>
                <w:rFonts w:hint="eastAsia" w:ascii="方正仿宋简体" w:eastAsia="方正仿宋简体"/>
                <w:b/>
                <w:bCs/>
                <w:spacing w:val="0"/>
                <w:sz w:val="24"/>
              </w:rPr>
              <w:t>现条款</w:t>
            </w:r>
          </w:p>
        </w:tc>
        <w:tc>
          <w:tcPr>
            <w:tcW w:w="6385" w:type="dxa"/>
            <w:shd w:val="clear" w:color="auto" w:fill="auto"/>
            <w:vAlign w:val="center"/>
          </w:tcPr>
          <w:p w14:paraId="19FBADB9">
            <w:pPr>
              <w:pStyle w:val="2"/>
              <w:jc w:val="center"/>
              <w:rPr>
                <w:rFonts w:hint="eastAsia" w:ascii="方正仿宋简体" w:eastAsia="方正仿宋简体"/>
                <w:b/>
                <w:bCs/>
                <w:spacing w:val="0"/>
                <w:sz w:val="24"/>
              </w:rPr>
            </w:pPr>
            <w:r>
              <w:rPr>
                <w:rFonts w:hint="eastAsia" w:ascii="方正仿宋简体" w:eastAsia="方正仿宋简体"/>
                <w:b/>
                <w:bCs/>
                <w:spacing w:val="0"/>
                <w:sz w:val="24"/>
              </w:rPr>
              <w:t>修改内容</w:t>
            </w:r>
          </w:p>
        </w:tc>
      </w:tr>
      <w:tr w14:paraId="69832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shd w:val="clear" w:color="auto" w:fill="auto"/>
          </w:tcPr>
          <w:p w14:paraId="4099C31A">
            <w:pPr>
              <w:pStyle w:val="2"/>
              <w:jc w:val="center"/>
              <w:rPr>
                <w:rFonts w:hint="eastAsia" w:ascii="方正仿宋简体" w:eastAsia="方正仿宋简体"/>
                <w:spacing w:val="0"/>
                <w:sz w:val="24"/>
              </w:rPr>
            </w:pPr>
            <w:r>
              <w:rPr>
                <w:rFonts w:hint="eastAsia" w:ascii="方正仿宋简体" w:eastAsia="方正仿宋简体"/>
                <w:spacing w:val="0"/>
                <w:sz w:val="24"/>
              </w:rPr>
              <w:t>1</w:t>
            </w:r>
          </w:p>
        </w:tc>
        <w:tc>
          <w:tcPr>
            <w:tcW w:w="1083" w:type="dxa"/>
            <w:shd w:val="clear" w:color="auto" w:fill="auto"/>
          </w:tcPr>
          <w:p w14:paraId="65DE8A12">
            <w:pPr>
              <w:pStyle w:val="2"/>
              <w:rPr>
                <w:rFonts w:hint="eastAsia" w:ascii="方正仿宋简体" w:eastAsia="方正仿宋简体"/>
                <w:spacing w:val="0"/>
                <w:sz w:val="24"/>
              </w:rPr>
            </w:pPr>
            <w:r>
              <w:rPr>
                <w:rFonts w:hint="eastAsia" w:ascii="方正仿宋简体" w:eastAsia="方正仿宋简体"/>
                <w:spacing w:val="0"/>
                <w:sz w:val="24"/>
              </w:rPr>
              <w:t>4.32.1.1</w:t>
            </w:r>
          </w:p>
        </w:tc>
        <w:tc>
          <w:tcPr>
            <w:tcW w:w="1017" w:type="dxa"/>
            <w:shd w:val="clear" w:color="auto" w:fill="auto"/>
          </w:tcPr>
          <w:p w14:paraId="2563B546">
            <w:pPr>
              <w:pStyle w:val="2"/>
              <w:rPr>
                <w:rFonts w:hint="eastAsia" w:ascii="方正仿宋简体" w:eastAsia="方正仿宋简体"/>
                <w:spacing w:val="0"/>
                <w:sz w:val="24"/>
              </w:rPr>
            </w:pPr>
            <w:r>
              <w:rPr>
                <w:rFonts w:hint="eastAsia" w:ascii="方正仿宋简体" w:eastAsia="方正仿宋简体"/>
                <w:spacing w:val="0"/>
                <w:sz w:val="24"/>
              </w:rPr>
              <w:t>4.25.2.1</w:t>
            </w:r>
          </w:p>
        </w:tc>
        <w:tc>
          <w:tcPr>
            <w:tcW w:w="6385" w:type="dxa"/>
            <w:shd w:val="clear" w:color="auto" w:fill="auto"/>
          </w:tcPr>
          <w:p w14:paraId="7D2E0502">
            <w:pPr>
              <w:pStyle w:val="2"/>
              <w:rPr>
                <w:rFonts w:hint="eastAsia" w:ascii="方正仿宋简体" w:eastAsia="方正仿宋简体"/>
                <w:spacing w:val="0"/>
                <w:sz w:val="24"/>
              </w:rPr>
            </w:pPr>
            <w:r>
              <w:rPr>
                <w:rFonts w:hint="eastAsia" w:ascii="方正仿宋简体" w:eastAsia="方正仿宋简体"/>
                <w:spacing w:val="0"/>
                <w:sz w:val="24"/>
              </w:rPr>
              <w:t>增加了不适用本标准范围的注释：“采用“短流程”铸造工艺或者铝水工艺温度超过790℃的铸铝件生产企业和艺术铸造企业不适用本标准。”</w:t>
            </w:r>
          </w:p>
        </w:tc>
      </w:tr>
      <w:tr w14:paraId="755F1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shd w:val="clear" w:color="auto" w:fill="auto"/>
          </w:tcPr>
          <w:p w14:paraId="66BB3E39">
            <w:pPr>
              <w:pStyle w:val="2"/>
              <w:jc w:val="center"/>
              <w:rPr>
                <w:rFonts w:hint="eastAsia" w:ascii="方正仿宋简体" w:eastAsia="方正仿宋简体"/>
                <w:spacing w:val="0"/>
                <w:sz w:val="24"/>
              </w:rPr>
            </w:pPr>
            <w:r>
              <w:rPr>
                <w:rFonts w:hint="eastAsia" w:ascii="方正仿宋简体" w:eastAsia="方正仿宋简体"/>
                <w:spacing w:val="0"/>
                <w:sz w:val="24"/>
              </w:rPr>
              <w:t>2</w:t>
            </w:r>
          </w:p>
        </w:tc>
        <w:tc>
          <w:tcPr>
            <w:tcW w:w="1083" w:type="dxa"/>
            <w:shd w:val="clear" w:color="auto" w:fill="auto"/>
          </w:tcPr>
          <w:p w14:paraId="384EF8B5">
            <w:pPr>
              <w:pStyle w:val="2"/>
              <w:rPr>
                <w:rFonts w:hint="eastAsia" w:ascii="方正仿宋简体" w:eastAsia="方正仿宋简体"/>
                <w:spacing w:val="0"/>
                <w:sz w:val="24"/>
              </w:rPr>
            </w:pPr>
            <w:r>
              <w:rPr>
                <w:rFonts w:hint="eastAsia" w:ascii="方正仿宋简体" w:eastAsia="方正仿宋简体"/>
                <w:spacing w:val="0"/>
                <w:sz w:val="24"/>
              </w:rPr>
              <w:t>4.32.1.2</w:t>
            </w:r>
          </w:p>
        </w:tc>
        <w:tc>
          <w:tcPr>
            <w:tcW w:w="1017" w:type="dxa"/>
            <w:shd w:val="clear" w:color="auto" w:fill="auto"/>
          </w:tcPr>
          <w:p w14:paraId="48A81617">
            <w:pPr>
              <w:pStyle w:val="2"/>
              <w:rPr>
                <w:rFonts w:hint="eastAsia" w:ascii="方正仿宋简体" w:eastAsia="方正仿宋简体"/>
                <w:spacing w:val="0"/>
                <w:sz w:val="24"/>
              </w:rPr>
            </w:pPr>
            <w:r>
              <w:rPr>
                <w:rFonts w:hint="eastAsia" w:ascii="方正仿宋简体" w:eastAsia="方正仿宋简体"/>
                <w:spacing w:val="0"/>
                <w:sz w:val="24"/>
              </w:rPr>
              <w:t>4.25.2.2</w:t>
            </w:r>
          </w:p>
        </w:tc>
        <w:tc>
          <w:tcPr>
            <w:tcW w:w="6385" w:type="dxa"/>
            <w:shd w:val="clear" w:color="auto" w:fill="auto"/>
          </w:tcPr>
          <w:p w14:paraId="73643E21">
            <w:pPr>
              <w:pStyle w:val="2"/>
              <w:rPr>
                <w:rFonts w:hint="eastAsia" w:ascii="方正仿宋简体" w:eastAsia="方正仿宋简体"/>
                <w:spacing w:val="0"/>
                <w:sz w:val="24"/>
              </w:rPr>
            </w:pPr>
            <w:r>
              <w:rPr>
                <w:rFonts w:hint="eastAsia" w:ascii="方正仿宋简体" w:eastAsia="方正仿宋简体"/>
                <w:spacing w:val="0"/>
                <w:sz w:val="24"/>
              </w:rPr>
              <w:t>1.标题和内容中增加了电阻炉；</w:t>
            </w:r>
          </w:p>
          <w:p w14:paraId="67B066A8">
            <w:pPr>
              <w:pStyle w:val="2"/>
              <w:rPr>
                <w:rFonts w:hint="eastAsia" w:ascii="方正仿宋简体" w:eastAsia="方正仿宋简体"/>
                <w:spacing w:val="0"/>
                <w:sz w:val="24"/>
              </w:rPr>
            </w:pPr>
            <w:r>
              <w:rPr>
                <w:rFonts w:hint="eastAsia" w:ascii="方正仿宋简体" w:eastAsia="方正仿宋简体"/>
                <w:spacing w:val="0"/>
                <w:sz w:val="24"/>
              </w:rPr>
              <w:t>2.增加了感应电炉的电力计量点的注释。</w:t>
            </w:r>
          </w:p>
        </w:tc>
      </w:tr>
      <w:tr w14:paraId="729A3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shd w:val="clear" w:color="auto" w:fill="auto"/>
          </w:tcPr>
          <w:p w14:paraId="5D542DCD">
            <w:pPr>
              <w:pStyle w:val="2"/>
              <w:jc w:val="center"/>
              <w:rPr>
                <w:rFonts w:hint="eastAsia" w:ascii="方正仿宋简体" w:eastAsia="方正仿宋简体"/>
                <w:spacing w:val="0"/>
                <w:sz w:val="24"/>
              </w:rPr>
            </w:pPr>
            <w:r>
              <w:rPr>
                <w:rFonts w:hint="eastAsia" w:ascii="方正仿宋简体" w:eastAsia="方正仿宋简体"/>
                <w:spacing w:val="0"/>
                <w:sz w:val="24"/>
              </w:rPr>
              <w:t>3</w:t>
            </w:r>
          </w:p>
        </w:tc>
        <w:tc>
          <w:tcPr>
            <w:tcW w:w="1083" w:type="dxa"/>
            <w:shd w:val="clear" w:color="auto" w:fill="auto"/>
          </w:tcPr>
          <w:p w14:paraId="016DF701">
            <w:pPr>
              <w:pStyle w:val="2"/>
              <w:rPr>
                <w:rFonts w:hint="eastAsia" w:ascii="方正仿宋简体" w:eastAsia="方正仿宋简体"/>
                <w:spacing w:val="0"/>
                <w:sz w:val="24"/>
              </w:rPr>
            </w:pPr>
            <w:r>
              <w:rPr>
                <w:rFonts w:hint="eastAsia" w:ascii="方正仿宋简体" w:eastAsia="方正仿宋简体"/>
                <w:spacing w:val="0"/>
                <w:sz w:val="24"/>
              </w:rPr>
              <w:t>4.32.1.3</w:t>
            </w:r>
          </w:p>
        </w:tc>
        <w:tc>
          <w:tcPr>
            <w:tcW w:w="1017" w:type="dxa"/>
            <w:shd w:val="clear" w:color="auto" w:fill="auto"/>
          </w:tcPr>
          <w:p w14:paraId="72A9998F">
            <w:pPr>
              <w:pStyle w:val="2"/>
              <w:rPr>
                <w:rFonts w:hint="eastAsia" w:ascii="方正仿宋简体" w:eastAsia="方正仿宋简体"/>
                <w:spacing w:val="0"/>
                <w:sz w:val="24"/>
              </w:rPr>
            </w:pPr>
            <w:r>
              <w:rPr>
                <w:rFonts w:hint="eastAsia" w:ascii="方正仿宋简体" w:eastAsia="方正仿宋简体"/>
                <w:spacing w:val="0"/>
                <w:sz w:val="24"/>
              </w:rPr>
              <w:t>4.25.2.3</w:t>
            </w:r>
          </w:p>
        </w:tc>
        <w:tc>
          <w:tcPr>
            <w:tcW w:w="6385" w:type="dxa"/>
            <w:shd w:val="clear" w:color="auto" w:fill="auto"/>
          </w:tcPr>
          <w:p w14:paraId="6F74E5A1">
            <w:pPr>
              <w:pStyle w:val="2"/>
              <w:rPr>
                <w:rFonts w:hint="eastAsia" w:ascii="方正仿宋简体" w:eastAsia="方正仿宋简体"/>
                <w:spacing w:val="0"/>
                <w:sz w:val="24"/>
              </w:rPr>
            </w:pPr>
            <w:r>
              <w:rPr>
                <w:rFonts w:hint="eastAsia" w:ascii="方正仿宋简体" w:eastAsia="方正仿宋简体"/>
                <w:spacing w:val="0"/>
                <w:sz w:val="24"/>
              </w:rPr>
              <w:t>将燃料炉修改为燃气铝合金熔化炉。</w:t>
            </w:r>
          </w:p>
        </w:tc>
      </w:tr>
      <w:tr w14:paraId="49FAF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shd w:val="clear" w:color="auto" w:fill="auto"/>
          </w:tcPr>
          <w:p w14:paraId="227F649B">
            <w:pPr>
              <w:pStyle w:val="2"/>
              <w:jc w:val="center"/>
              <w:rPr>
                <w:rFonts w:hint="eastAsia" w:ascii="方正仿宋简体" w:eastAsia="方正仿宋简体"/>
                <w:spacing w:val="0"/>
                <w:sz w:val="24"/>
              </w:rPr>
            </w:pPr>
            <w:r>
              <w:rPr>
                <w:rFonts w:hint="eastAsia" w:ascii="方正仿宋简体" w:eastAsia="方正仿宋简体"/>
                <w:spacing w:val="0"/>
                <w:sz w:val="24"/>
              </w:rPr>
              <w:t>4</w:t>
            </w:r>
          </w:p>
        </w:tc>
        <w:tc>
          <w:tcPr>
            <w:tcW w:w="1083" w:type="dxa"/>
            <w:shd w:val="clear" w:color="auto" w:fill="auto"/>
          </w:tcPr>
          <w:p w14:paraId="0C435079">
            <w:pPr>
              <w:pStyle w:val="2"/>
              <w:rPr>
                <w:rFonts w:hint="eastAsia" w:ascii="方正仿宋简体" w:eastAsia="方正仿宋简体"/>
                <w:spacing w:val="0"/>
                <w:sz w:val="24"/>
              </w:rPr>
            </w:pPr>
            <w:r>
              <w:rPr>
                <w:rFonts w:hint="eastAsia" w:ascii="方正仿宋简体" w:eastAsia="方正仿宋简体"/>
                <w:spacing w:val="0"/>
                <w:sz w:val="24"/>
              </w:rPr>
              <w:t>4.32.2.1</w:t>
            </w:r>
          </w:p>
        </w:tc>
        <w:tc>
          <w:tcPr>
            <w:tcW w:w="1017" w:type="dxa"/>
            <w:shd w:val="clear" w:color="auto" w:fill="auto"/>
          </w:tcPr>
          <w:p w14:paraId="0D72F459">
            <w:pPr>
              <w:pStyle w:val="2"/>
              <w:rPr>
                <w:rFonts w:hint="eastAsia" w:ascii="方正仿宋简体" w:eastAsia="方正仿宋简体"/>
                <w:spacing w:val="0"/>
                <w:sz w:val="24"/>
              </w:rPr>
            </w:pPr>
            <w:r>
              <w:rPr>
                <w:rFonts w:hint="eastAsia" w:ascii="方正仿宋简体" w:eastAsia="方正仿宋简体"/>
                <w:spacing w:val="0"/>
                <w:sz w:val="24"/>
              </w:rPr>
              <w:t>4.25.3.1</w:t>
            </w:r>
          </w:p>
        </w:tc>
        <w:tc>
          <w:tcPr>
            <w:tcW w:w="6385" w:type="dxa"/>
            <w:shd w:val="clear" w:color="auto" w:fill="auto"/>
          </w:tcPr>
          <w:p w14:paraId="0E14AB43">
            <w:pPr>
              <w:pStyle w:val="2"/>
              <w:rPr>
                <w:rFonts w:hint="eastAsia" w:ascii="方正仿宋简体" w:eastAsia="方正仿宋简体"/>
                <w:spacing w:val="0"/>
                <w:sz w:val="24"/>
              </w:rPr>
            </w:pPr>
            <w:r>
              <w:rPr>
                <w:rFonts w:hint="eastAsia" w:ascii="方正仿宋简体" w:eastAsia="方正仿宋简体"/>
                <w:spacing w:val="0"/>
                <w:sz w:val="24"/>
              </w:rPr>
              <w:t>铝合金铸件制芯工艺因素修正系数中增加盐芯，系数为1.05。</w:t>
            </w:r>
          </w:p>
        </w:tc>
      </w:tr>
      <w:tr w14:paraId="79B05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shd w:val="clear" w:color="auto" w:fill="auto"/>
          </w:tcPr>
          <w:p w14:paraId="3B79C71F">
            <w:pPr>
              <w:pStyle w:val="2"/>
              <w:jc w:val="center"/>
              <w:rPr>
                <w:rFonts w:hint="eastAsia" w:ascii="方正仿宋简体" w:eastAsia="方正仿宋简体"/>
                <w:spacing w:val="0"/>
                <w:sz w:val="24"/>
              </w:rPr>
            </w:pPr>
            <w:r>
              <w:rPr>
                <w:rFonts w:hint="eastAsia" w:ascii="方正仿宋简体" w:eastAsia="方正仿宋简体"/>
                <w:spacing w:val="0"/>
                <w:sz w:val="24"/>
              </w:rPr>
              <w:t>5</w:t>
            </w:r>
          </w:p>
        </w:tc>
        <w:tc>
          <w:tcPr>
            <w:tcW w:w="1083" w:type="dxa"/>
            <w:shd w:val="clear" w:color="auto" w:fill="auto"/>
          </w:tcPr>
          <w:p w14:paraId="49D8B1C0">
            <w:pPr>
              <w:pStyle w:val="2"/>
              <w:rPr>
                <w:rFonts w:hint="eastAsia" w:ascii="方正仿宋简体" w:eastAsia="方正仿宋简体"/>
                <w:spacing w:val="0"/>
                <w:sz w:val="24"/>
              </w:rPr>
            </w:pPr>
            <w:r>
              <w:rPr>
                <w:rFonts w:hint="eastAsia" w:ascii="方正仿宋简体" w:eastAsia="方正仿宋简体"/>
                <w:spacing w:val="0"/>
                <w:sz w:val="24"/>
              </w:rPr>
              <w:t>4.32.2.2</w:t>
            </w:r>
          </w:p>
        </w:tc>
        <w:tc>
          <w:tcPr>
            <w:tcW w:w="1017" w:type="dxa"/>
            <w:shd w:val="clear" w:color="auto" w:fill="auto"/>
          </w:tcPr>
          <w:p w14:paraId="1927E327">
            <w:pPr>
              <w:pStyle w:val="2"/>
              <w:rPr>
                <w:rFonts w:hint="eastAsia" w:ascii="方正仿宋简体" w:eastAsia="方正仿宋简体"/>
                <w:spacing w:val="0"/>
                <w:sz w:val="24"/>
              </w:rPr>
            </w:pPr>
            <w:r>
              <w:rPr>
                <w:rFonts w:hint="eastAsia" w:ascii="方正仿宋简体" w:eastAsia="方正仿宋简体"/>
                <w:spacing w:val="0"/>
                <w:sz w:val="24"/>
              </w:rPr>
              <w:t>4.25.3.2</w:t>
            </w:r>
          </w:p>
        </w:tc>
        <w:tc>
          <w:tcPr>
            <w:tcW w:w="6385" w:type="dxa"/>
            <w:shd w:val="clear" w:color="auto" w:fill="auto"/>
          </w:tcPr>
          <w:p w14:paraId="2A41FED3">
            <w:pPr>
              <w:pStyle w:val="2"/>
              <w:rPr>
                <w:rFonts w:hint="eastAsia" w:ascii="方正仿宋简体" w:eastAsia="方正仿宋简体"/>
                <w:spacing w:val="0"/>
                <w:sz w:val="24"/>
              </w:rPr>
            </w:pPr>
            <w:r>
              <w:rPr>
                <w:rFonts w:hint="eastAsia" w:ascii="方正仿宋简体" w:eastAsia="方正仿宋简体"/>
                <w:spacing w:val="0"/>
                <w:sz w:val="24"/>
              </w:rPr>
              <w:t>1.对单件铸件最小重量进行限制，增加了“铝合金铸件单件重量小于0.3kg，不适用本标准。”的表注。</w:t>
            </w:r>
          </w:p>
          <w:p w14:paraId="40D9AC36">
            <w:pPr>
              <w:pStyle w:val="2"/>
              <w:rPr>
                <w:rFonts w:hint="eastAsia" w:ascii="方正仿宋简体" w:eastAsia="方正仿宋简体"/>
                <w:spacing w:val="0"/>
                <w:sz w:val="24"/>
              </w:rPr>
            </w:pPr>
            <w:r>
              <w:rPr>
                <w:rFonts w:hint="eastAsia" w:ascii="方正仿宋简体" w:eastAsia="方正仿宋简体"/>
                <w:spacing w:val="0"/>
                <w:sz w:val="24"/>
              </w:rPr>
              <w:t>2.铝合金铸件重量修正系数，增加了0.5kg&lt;C≤5 kg的修正系数为1.05。</w:t>
            </w:r>
          </w:p>
        </w:tc>
      </w:tr>
      <w:tr w14:paraId="6D217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shd w:val="clear" w:color="auto" w:fill="auto"/>
          </w:tcPr>
          <w:p w14:paraId="7D53367A">
            <w:pPr>
              <w:pStyle w:val="2"/>
              <w:jc w:val="center"/>
              <w:rPr>
                <w:rFonts w:hint="eastAsia" w:ascii="方正仿宋简体" w:eastAsia="方正仿宋简体"/>
                <w:spacing w:val="0"/>
                <w:sz w:val="24"/>
              </w:rPr>
            </w:pPr>
            <w:r>
              <w:rPr>
                <w:rFonts w:hint="eastAsia" w:ascii="方正仿宋简体" w:eastAsia="方正仿宋简体"/>
                <w:spacing w:val="0"/>
                <w:sz w:val="24"/>
              </w:rPr>
              <w:t>6</w:t>
            </w:r>
          </w:p>
        </w:tc>
        <w:tc>
          <w:tcPr>
            <w:tcW w:w="1083" w:type="dxa"/>
            <w:shd w:val="clear" w:color="auto" w:fill="auto"/>
          </w:tcPr>
          <w:p w14:paraId="7C5DF2A8">
            <w:pPr>
              <w:pStyle w:val="2"/>
              <w:jc w:val="center"/>
              <w:rPr>
                <w:rFonts w:hint="eastAsia" w:ascii="方正仿宋简体" w:eastAsia="方正仿宋简体"/>
                <w:spacing w:val="0"/>
                <w:sz w:val="24"/>
              </w:rPr>
            </w:pPr>
          </w:p>
        </w:tc>
        <w:tc>
          <w:tcPr>
            <w:tcW w:w="1017" w:type="dxa"/>
            <w:shd w:val="clear" w:color="auto" w:fill="auto"/>
          </w:tcPr>
          <w:p w14:paraId="3B331F7A">
            <w:pPr>
              <w:pStyle w:val="2"/>
              <w:rPr>
                <w:rFonts w:hint="eastAsia" w:ascii="方正仿宋简体" w:eastAsia="方正仿宋简体"/>
                <w:spacing w:val="0"/>
                <w:sz w:val="24"/>
              </w:rPr>
            </w:pPr>
            <w:r>
              <w:rPr>
                <w:rFonts w:hint="eastAsia" w:ascii="方正仿宋简体" w:eastAsia="方正仿宋简体"/>
                <w:spacing w:val="0"/>
                <w:sz w:val="24"/>
              </w:rPr>
              <w:t>4.25.3.7</w:t>
            </w:r>
          </w:p>
        </w:tc>
        <w:tc>
          <w:tcPr>
            <w:tcW w:w="6385" w:type="dxa"/>
            <w:shd w:val="clear" w:color="auto" w:fill="auto"/>
          </w:tcPr>
          <w:p w14:paraId="334B5C52">
            <w:pPr>
              <w:pStyle w:val="2"/>
              <w:rPr>
                <w:rFonts w:hint="eastAsia" w:ascii="方正仿宋简体" w:eastAsia="方正仿宋简体"/>
                <w:spacing w:val="0"/>
                <w:sz w:val="24"/>
              </w:rPr>
            </w:pPr>
            <w:r>
              <w:rPr>
                <w:rFonts w:hint="eastAsia" w:ascii="方正仿宋简体" w:eastAsia="方正仿宋简体"/>
                <w:spacing w:val="0"/>
                <w:sz w:val="24"/>
              </w:rPr>
              <w:t>新增铝合金铸件生产自动化程度修正系数，全自动化系数为1.02，非全自动化系数为1.0.</w:t>
            </w:r>
          </w:p>
        </w:tc>
      </w:tr>
      <w:tr w14:paraId="7269F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shd w:val="clear" w:color="auto" w:fill="auto"/>
          </w:tcPr>
          <w:p w14:paraId="37D86FF8">
            <w:pPr>
              <w:pStyle w:val="2"/>
              <w:jc w:val="center"/>
              <w:rPr>
                <w:rFonts w:hint="eastAsia" w:ascii="方正仿宋简体" w:eastAsia="方正仿宋简体"/>
                <w:spacing w:val="0"/>
                <w:sz w:val="24"/>
              </w:rPr>
            </w:pPr>
            <w:r>
              <w:rPr>
                <w:rFonts w:hint="eastAsia" w:ascii="方正仿宋简体" w:eastAsia="方正仿宋简体"/>
                <w:spacing w:val="0"/>
                <w:sz w:val="24"/>
              </w:rPr>
              <w:t>7</w:t>
            </w:r>
          </w:p>
        </w:tc>
        <w:tc>
          <w:tcPr>
            <w:tcW w:w="1083" w:type="dxa"/>
            <w:shd w:val="clear" w:color="auto" w:fill="auto"/>
          </w:tcPr>
          <w:p w14:paraId="054C458E">
            <w:pPr>
              <w:pStyle w:val="2"/>
              <w:jc w:val="center"/>
              <w:rPr>
                <w:rFonts w:hint="eastAsia" w:ascii="方正仿宋简体" w:eastAsia="方正仿宋简体"/>
                <w:spacing w:val="0"/>
                <w:sz w:val="24"/>
              </w:rPr>
            </w:pPr>
            <w:r>
              <w:rPr>
                <w:rFonts w:hint="eastAsia" w:ascii="方正仿宋简体" w:eastAsia="方正仿宋简体"/>
                <w:spacing w:val="0"/>
                <w:sz w:val="24"/>
              </w:rPr>
              <w:t>4.32.3.3</w:t>
            </w:r>
          </w:p>
        </w:tc>
        <w:tc>
          <w:tcPr>
            <w:tcW w:w="1017" w:type="dxa"/>
            <w:shd w:val="clear" w:color="auto" w:fill="auto"/>
          </w:tcPr>
          <w:p w14:paraId="5A14FE80">
            <w:pPr>
              <w:pStyle w:val="2"/>
              <w:jc w:val="center"/>
              <w:rPr>
                <w:rFonts w:hint="eastAsia" w:ascii="方正仿宋简体" w:eastAsia="方正仿宋简体"/>
                <w:spacing w:val="0"/>
                <w:sz w:val="24"/>
              </w:rPr>
            </w:pPr>
            <w:r>
              <w:rPr>
                <w:rFonts w:hint="eastAsia" w:ascii="方正仿宋简体" w:eastAsia="方正仿宋简体"/>
                <w:spacing w:val="0"/>
                <w:sz w:val="24"/>
              </w:rPr>
              <w:t>4.25.4.3</w:t>
            </w:r>
          </w:p>
        </w:tc>
        <w:tc>
          <w:tcPr>
            <w:tcW w:w="6385" w:type="dxa"/>
            <w:shd w:val="clear" w:color="auto" w:fill="auto"/>
          </w:tcPr>
          <w:p w14:paraId="72744AE4">
            <w:pPr>
              <w:pStyle w:val="2"/>
              <w:rPr>
                <w:rFonts w:hint="eastAsia" w:ascii="方正仿宋简体" w:eastAsia="方正仿宋简体"/>
                <w:spacing w:val="0"/>
                <w:sz w:val="24"/>
              </w:rPr>
            </w:pPr>
            <w:r>
              <w:rPr>
                <w:rFonts w:hint="eastAsia" w:ascii="方正仿宋简体" w:eastAsia="方正仿宋简体"/>
                <w:spacing w:val="0"/>
                <w:sz w:val="24"/>
              </w:rPr>
              <w:t>将新增的自动化程度修正系数补充到可比铝合金铸件产量计算方法公式中。</w:t>
            </w:r>
          </w:p>
        </w:tc>
      </w:tr>
      <w:tr w14:paraId="459FE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shd w:val="clear" w:color="auto" w:fill="auto"/>
          </w:tcPr>
          <w:p w14:paraId="663E4336">
            <w:pPr>
              <w:pStyle w:val="2"/>
              <w:jc w:val="center"/>
              <w:rPr>
                <w:rFonts w:hint="eastAsia" w:ascii="方正仿宋简体" w:eastAsia="方正仿宋简体"/>
                <w:spacing w:val="0"/>
                <w:sz w:val="24"/>
              </w:rPr>
            </w:pPr>
            <w:r>
              <w:rPr>
                <w:rFonts w:hint="eastAsia" w:ascii="方正仿宋简体" w:eastAsia="方正仿宋简体"/>
                <w:spacing w:val="0"/>
                <w:sz w:val="24"/>
              </w:rPr>
              <w:t>8</w:t>
            </w:r>
          </w:p>
        </w:tc>
        <w:tc>
          <w:tcPr>
            <w:tcW w:w="1083" w:type="dxa"/>
            <w:shd w:val="clear" w:color="auto" w:fill="auto"/>
          </w:tcPr>
          <w:p w14:paraId="7DA5520B">
            <w:pPr>
              <w:pStyle w:val="2"/>
              <w:jc w:val="center"/>
              <w:rPr>
                <w:rFonts w:hint="eastAsia" w:ascii="方正仿宋简体" w:eastAsia="方正仿宋简体"/>
                <w:spacing w:val="0"/>
                <w:sz w:val="24"/>
              </w:rPr>
            </w:pPr>
            <w:r>
              <w:rPr>
                <w:rFonts w:hint="eastAsia" w:ascii="方正仿宋简体" w:eastAsia="方正仿宋简体"/>
                <w:spacing w:val="0"/>
                <w:sz w:val="24"/>
              </w:rPr>
              <w:t>4.32.3.2</w:t>
            </w:r>
          </w:p>
        </w:tc>
        <w:tc>
          <w:tcPr>
            <w:tcW w:w="1017" w:type="dxa"/>
            <w:shd w:val="clear" w:color="auto" w:fill="auto"/>
          </w:tcPr>
          <w:p w14:paraId="4A49719F">
            <w:pPr>
              <w:pStyle w:val="2"/>
              <w:jc w:val="center"/>
              <w:rPr>
                <w:rFonts w:hint="eastAsia" w:ascii="方正仿宋简体" w:eastAsia="方正仿宋简体"/>
                <w:spacing w:val="0"/>
                <w:sz w:val="24"/>
              </w:rPr>
            </w:pPr>
            <w:r>
              <w:rPr>
                <w:rFonts w:hint="eastAsia" w:ascii="方正仿宋简体" w:eastAsia="方正仿宋简体"/>
                <w:spacing w:val="0"/>
                <w:sz w:val="24"/>
              </w:rPr>
              <w:t>4.25.4.2</w:t>
            </w:r>
          </w:p>
        </w:tc>
        <w:tc>
          <w:tcPr>
            <w:tcW w:w="6385" w:type="dxa"/>
            <w:shd w:val="clear" w:color="auto" w:fill="auto"/>
          </w:tcPr>
          <w:p w14:paraId="7E98C3E3">
            <w:pPr>
              <w:pStyle w:val="2"/>
              <w:rPr>
                <w:rFonts w:hint="eastAsia" w:ascii="方正仿宋简体" w:eastAsia="方正仿宋简体"/>
                <w:spacing w:val="0"/>
                <w:sz w:val="24"/>
              </w:rPr>
            </w:pPr>
            <w:r>
              <w:rPr>
                <w:rFonts w:hint="eastAsia" w:ascii="方正仿宋简体" w:eastAsia="方正仿宋简体"/>
                <w:spacing w:val="0"/>
                <w:sz w:val="24"/>
              </w:rPr>
              <w:t>标题由“燃料炉熔化过程中的综合能耗计算方法”修改为“燃气铝合金熔化炉生产过程中的燃气能耗计算方法”，并同步修改公式。</w:t>
            </w:r>
          </w:p>
        </w:tc>
      </w:tr>
      <w:tr w14:paraId="41714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shd w:val="clear" w:color="auto" w:fill="auto"/>
          </w:tcPr>
          <w:p w14:paraId="22840C62">
            <w:pPr>
              <w:pStyle w:val="2"/>
              <w:jc w:val="center"/>
              <w:rPr>
                <w:rFonts w:hint="eastAsia" w:ascii="方正仿宋简体" w:eastAsia="方正仿宋简体"/>
                <w:spacing w:val="0"/>
                <w:sz w:val="24"/>
              </w:rPr>
            </w:pPr>
            <w:r>
              <w:rPr>
                <w:rFonts w:hint="eastAsia" w:ascii="方正仿宋简体" w:eastAsia="方正仿宋简体"/>
                <w:spacing w:val="0"/>
                <w:sz w:val="24"/>
              </w:rPr>
              <w:t>9</w:t>
            </w:r>
          </w:p>
        </w:tc>
        <w:tc>
          <w:tcPr>
            <w:tcW w:w="1083" w:type="dxa"/>
            <w:shd w:val="clear" w:color="auto" w:fill="auto"/>
          </w:tcPr>
          <w:p w14:paraId="3EDBC97E">
            <w:pPr>
              <w:pStyle w:val="2"/>
              <w:jc w:val="center"/>
              <w:rPr>
                <w:rFonts w:hint="eastAsia" w:ascii="方正仿宋简体" w:eastAsia="方正仿宋简体"/>
                <w:spacing w:val="0"/>
                <w:sz w:val="24"/>
              </w:rPr>
            </w:pPr>
            <w:r>
              <w:rPr>
                <w:rFonts w:hint="eastAsia" w:ascii="方正仿宋简体" w:eastAsia="方正仿宋简体"/>
                <w:spacing w:val="0"/>
                <w:sz w:val="24"/>
              </w:rPr>
              <w:t>4.32.3.5</w:t>
            </w:r>
          </w:p>
        </w:tc>
        <w:tc>
          <w:tcPr>
            <w:tcW w:w="1017" w:type="dxa"/>
            <w:shd w:val="clear" w:color="auto" w:fill="auto"/>
          </w:tcPr>
          <w:p w14:paraId="10CDC1F7">
            <w:pPr>
              <w:pStyle w:val="2"/>
              <w:rPr>
                <w:rFonts w:hint="eastAsia" w:ascii="方正仿宋简体" w:eastAsia="方正仿宋简体"/>
                <w:spacing w:val="0"/>
                <w:sz w:val="24"/>
              </w:rPr>
            </w:pPr>
            <w:r>
              <w:rPr>
                <w:rFonts w:hint="eastAsia" w:ascii="方正仿宋简体" w:eastAsia="方正仿宋简体"/>
                <w:spacing w:val="0"/>
                <w:sz w:val="24"/>
              </w:rPr>
              <w:t>4.25.4.5</w:t>
            </w:r>
          </w:p>
        </w:tc>
        <w:tc>
          <w:tcPr>
            <w:tcW w:w="6385" w:type="dxa"/>
            <w:shd w:val="clear" w:color="auto" w:fill="auto"/>
          </w:tcPr>
          <w:p w14:paraId="4096D661">
            <w:pPr>
              <w:pStyle w:val="2"/>
              <w:rPr>
                <w:rFonts w:hint="eastAsia" w:ascii="方正仿宋简体" w:eastAsia="方正仿宋简体"/>
                <w:spacing w:val="0"/>
                <w:sz w:val="24"/>
              </w:rPr>
            </w:pPr>
            <w:r>
              <w:rPr>
                <w:rFonts w:hint="eastAsia" w:ascii="方正仿宋简体" w:eastAsia="方正仿宋简体"/>
                <w:spacing w:val="0"/>
                <w:sz w:val="24"/>
              </w:rPr>
              <w:t>1.标题由“感应电炉吨金属液综合电耗计算方法”修改为“感应电炉、电阻炉吨金属液综合电耗计算方法”；</w:t>
            </w:r>
          </w:p>
          <w:p w14:paraId="75AB232C">
            <w:pPr>
              <w:pStyle w:val="2"/>
              <w:rPr>
                <w:rFonts w:hint="eastAsia" w:ascii="方正仿宋简体" w:eastAsia="方正仿宋简体"/>
                <w:spacing w:val="0"/>
                <w:sz w:val="24"/>
              </w:rPr>
            </w:pPr>
            <w:r>
              <w:rPr>
                <w:rFonts w:hint="eastAsia" w:ascii="方正仿宋简体" w:eastAsia="方正仿宋简体"/>
                <w:spacing w:val="0"/>
                <w:sz w:val="24"/>
              </w:rPr>
              <w:t>2.增加了金属液的估算方法注释：“如熔化铝合金液的重量计量有困难，可以按金属炉料总重量乘以0.98进行推算”。</w:t>
            </w:r>
          </w:p>
        </w:tc>
      </w:tr>
      <w:tr w14:paraId="54B2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 w:type="dxa"/>
            <w:shd w:val="clear" w:color="auto" w:fill="auto"/>
          </w:tcPr>
          <w:p w14:paraId="323CDEAB">
            <w:pPr>
              <w:pStyle w:val="2"/>
              <w:jc w:val="center"/>
              <w:rPr>
                <w:rFonts w:hint="eastAsia" w:ascii="方正仿宋简体" w:eastAsia="方正仿宋简体"/>
                <w:spacing w:val="0"/>
                <w:sz w:val="24"/>
              </w:rPr>
            </w:pPr>
            <w:r>
              <w:rPr>
                <w:rFonts w:hint="eastAsia" w:ascii="方正仿宋简体" w:eastAsia="方正仿宋简体"/>
                <w:spacing w:val="0"/>
                <w:sz w:val="24"/>
              </w:rPr>
              <w:t>10</w:t>
            </w:r>
          </w:p>
        </w:tc>
        <w:tc>
          <w:tcPr>
            <w:tcW w:w="1083" w:type="dxa"/>
            <w:shd w:val="clear" w:color="auto" w:fill="auto"/>
          </w:tcPr>
          <w:p w14:paraId="64370668">
            <w:pPr>
              <w:pStyle w:val="2"/>
              <w:jc w:val="center"/>
              <w:rPr>
                <w:rFonts w:hint="eastAsia" w:ascii="方正仿宋简体" w:eastAsia="方正仿宋简体"/>
                <w:spacing w:val="0"/>
                <w:sz w:val="24"/>
              </w:rPr>
            </w:pPr>
            <w:r>
              <w:rPr>
                <w:rFonts w:hint="eastAsia" w:ascii="方正仿宋简体" w:eastAsia="方正仿宋简体"/>
                <w:spacing w:val="0"/>
                <w:sz w:val="24"/>
              </w:rPr>
              <w:t>4.32.3.6</w:t>
            </w:r>
          </w:p>
        </w:tc>
        <w:tc>
          <w:tcPr>
            <w:tcW w:w="1017" w:type="dxa"/>
            <w:shd w:val="clear" w:color="auto" w:fill="auto"/>
          </w:tcPr>
          <w:p w14:paraId="2DFDBE24">
            <w:pPr>
              <w:pStyle w:val="2"/>
              <w:rPr>
                <w:rFonts w:hint="eastAsia" w:ascii="方正仿宋简体" w:eastAsia="方正仿宋简体"/>
                <w:spacing w:val="0"/>
                <w:sz w:val="24"/>
              </w:rPr>
            </w:pPr>
            <w:r>
              <w:rPr>
                <w:rFonts w:hint="eastAsia" w:ascii="方正仿宋简体" w:eastAsia="方正仿宋简体"/>
                <w:spacing w:val="0"/>
                <w:sz w:val="24"/>
              </w:rPr>
              <w:t>4.25.4.5</w:t>
            </w:r>
          </w:p>
        </w:tc>
        <w:tc>
          <w:tcPr>
            <w:tcW w:w="6385" w:type="dxa"/>
            <w:shd w:val="clear" w:color="auto" w:fill="auto"/>
          </w:tcPr>
          <w:p w14:paraId="7A74364E">
            <w:pPr>
              <w:pStyle w:val="2"/>
              <w:rPr>
                <w:rFonts w:hint="eastAsia" w:ascii="方正仿宋简体" w:eastAsia="方正仿宋简体"/>
                <w:spacing w:val="0"/>
                <w:sz w:val="24"/>
              </w:rPr>
            </w:pPr>
            <w:r>
              <w:rPr>
                <w:rFonts w:hint="eastAsia" w:ascii="方正仿宋简体" w:eastAsia="方正仿宋简体"/>
                <w:spacing w:val="0"/>
                <w:sz w:val="24"/>
              </w:rPr>
              <w:t>1.标题由“料炉吨金属液综合能耗计算方法”修改为“燃气铝合金熔化炉吨金属液综合能耗计算方法”；</w:t>
            </w:r>
          </w:p>
          <w:p w14:paraId="57543643">
            <w:pPr>
              <w:pStyle w:val="2"/>
              <w:rPr>
                <w:rFonts w:hint="eastAsia" w:ascii="方正仿宋简体" w:eastAsia="方正仿宋简体"/>
                <w:spacing w:val="0"/>
                <w:sz w:val="24"/>
              </w:rPr>
            </w:pPr>
            <w:r>
              <w:rPr>
                <w:rFonts w:hint="eastAsia" w:ascii="方正仿宋简体" w:eastAsia="方正仿宋简体"/>
                <w:spacing w:val="0"/>
                <w:sz w:val="24"/>
              </w:rPr>
              <w:t xml:space="preserve">2.增加了金属液的估算方法注释：“如熔化铝合金液的重量计量有困难，可以按金属炉料总重量乘以0.98进行推算”。 </w:t>
            </w:r>
          </w:p>
        </w:tc>
      </w:tr>
    </w:tbl>
    <w:p w14:paraId="5EDCF485">
      <w:pPr>
        <w:tabs>
          <w:tab w:val="left" w:pos="4536"/>
        </w:tabs>
        <w:spacing w:line="360" w:lineRule="auto"/>
        <w:ind w:firstLine="640" w:firstLineChars="200"/>
        <w:rPr>
          <w:rFonts w:hint="eastAsia" w:ascii="方正仿宋简体" w:hAnsi="Calibri" w:eastAsia="方正仿宋简体" w:cs="Calibri"/>
          <w:sz w:val="32"/>
          <w:szCs w:val="32"/>
        </w:rPr>
      </w:pPr>
      <w:r>
        <w:rPr>
          <w:rFonts w:hint="eastAsia" w:ascii="方正仿宋简体" w:hAnsi="Calibri" w:eastAsia="方正仿宋简体" w:cs="Calibri"/>
          <w:sz w:val="32"/>
          <w:szCs w:val="32"/>
        </w:rPr>
        <w:sym w:font="Wingdings" w:char="F084"/>
      </w:r>
      <w:r>
        <w:rPr>
          <w:rFonts w:hint="eastAsia" w:ascii="方正仿宋简体" w:hAnsi="Calibri" w:eastAsia="方正仿宋简体" w:cs="Calibri"/>
          <w:sz w:val="32"/>
          <w:szCs w:val="32"/>
        </w:rPr>
        <w:t>棉纱</w:t>
      </w:r>
    </w:p>
    <w:p w14:paraId="5D9D7C7D">
      <w:pPr>
        <w:tabs>
          <w:tab w:val="left" w:pos="4536"/>
        </w:tabs>
        <w:spacing w:line="360" w:lineRule="auto"/>
        <w:ind w:firstLine="640" w:firstLineChars="200"/>
        <w:rPr>
          <w:rFonts w:hint="eastAsia" w:ascii="方正仿宋简体" w:hAnsi="Calibri" w:eastAsia="方正仿宋简体" w:cs="Calibri"/>
          <w:sz w:val="32"/>
          <w:szCs w:val="32"/>
        </w:rPr>
      </w:pPr>
      <w:r>
        <w:rPr>
          <w:rFonts w:hint="eastAsia" w:ascii="方正仿宋简体" w:hAnsi="Calibri" w:eastAsia="方正仿宋简体" w:cs="Calibri"/>
          <w:sz w:val="32"/>
          <w:szCs w:val="32"/>
        </w:rPr>
        <w:t>原标准《单位能耗限额统计范围和计算方法》（DB 32/T 2061—2018），附表C.2其他折合系数，中的“注4：自动化折合系数K</w:t>
      </w:r>
      <w:r>
        <w:rPr>
          <w:rFonts w:hint="eastAsia" w:ascii="方正仿宋简体" w:hAnsi="Calibri" w:eastAsia="方正仿宋简体" w:cs="Calibri"/>
          <w:sz w:val="32"/>
          <w:szCs w:val="32"/>
          <w:vertAlign w:val="subscript"/>
        </w:rPr>
        <w:t>6</w:t>
      </w:r>
      <w:r>
        <w:rPr>
          <w:rFonts w:hint="eastAsia" w:ascii="方正仿宋简体" w:hAnsi="Calibri" w:eastAsia="方正仿宋简体" w:cs="Calibri"/>
          <w:sz w:val="32"/>
          <w:szCs w:val="32"/>
        </w:rPr>
        <w:t>根据实际采用的自动化项目累加。”易引起歧义，本次修改为“注4：自动化折合系数K</w:t>
      </w:r>
      <w:r>
        <w:rPr>
          <w:rFonts w:hint="eastAsia" w:ascii="方正仿宋简体" w:hAnsi="Calibri" w:eastAsia="方正仿宋简体" w:cs="Calibri"/>
          <w:sz w:val="32"/>
          <w:szCs w:val="32"/>
          <w:vertAlign w:val="subscript"/>
        </w:rPr>
        <w:t>6</w:t>
      </w:r>
      <w:r>
        <w:rPr>
          <w:rFonts w:hint="eastAsia" w:ascii="方正仿宋简体" w:hAnsi="Calibri" w:eastAsia="方正仿宋简体" w:cs="Calibri"/>
          <w:sz w:val="32"/>
          <w:szCs w:val="32"/>
        </w:rPr>
        <w:t>根据实际采用的自动化项目进行效果叠加，举例：采用再用棉自动处理系统和并条风箱花自动收集系统的，K</w:t>
      </w:r>
      <w:r>
        <w:rPr>
          <w:rFonts w:hint="eastAsia" w:ascii="方正仿宋简体" w:hAnsi="Calibri" w:eastAsia="方正仿宋简体" w:cs="Calibri"/>
          <w:sz w:val="32"/>
          <w:szCs w:val="32"/>
          <w:vertAlign w:val="subscript"/>
        </w:rPr>
        <w:t>6</w:t>
      </w:r>
      <w:r>
        <w:rPr>
          <w:rFonts w:hint="eastAsia" w:ascii="方正仿宋简体" w:hAnsi="Calibri" w:eastAsia="方正仿宋简体" w:cs="Calibri"/>
          <w:sz w:val="32"/>
          <w:szCs w:val="32"/>
        </w:rPr>
        <w:t>=1+0.028+0.0046=1.0326”。</w:t>
      </w:r>
    </w:p>
    <w:p w14:paraId="7DBDB002">
      <w:pPr>
        <w:widowControl/>
        <w:spacing w:line="420" w:lineRule="atLeast"/>
        <w:ind w:firstLine="640" w:firstLineChars="200"/>
        <w:rPr>
          <w:rFonts w:hint="eastAsia" w:ascii="方正仿宋简体" w:eastAsia="方正仿宋简体"/>
          <w:sz w:val="32"/>
          <w:szCs w:val="32"/>
        </w:rPr>
      </w:pPr>
      <w:r>
        <w:rPr>
          <w:rFonts w:hint="eastAsia" w:ascii="方正仿宋简体" w:eastAsia="方正仿宋简体"/>
          <w:sz w:val="32"/>
          <w:szCs w:val="32"/>
        </w:rPr>
        <w:t>5.标准煤折算</w:t>
      </w:r>
    </w:p>
    <w:p w14:paraId="71162C71">
      <w:pPr>
        <w:tabs>
          <w:tab w:val="left" w:pos="4536"/>
        </w:tabs>
        <w:spacing w:line="360" w:lineRule="auto"/>
        <w:ind w:firstLine="640" w:firstLineChars="200"/>
        <w:rPr>
          <w:rFonts w:hint="eastAsia" w:ascii="方正仿宋简体" w:eastAsia="方正仿宋简体"/>
          <w:sz w:val="32"/>
          <w:szCs w:val="32"/>
        </w:rPr>
      </w:pPr>
      <w:r>
        <w:rPr>
          <w:rFonts w:hint="eastAsia" w:ascii="方正仿宋简体" w:eastAsia="方正仿宋简体"/>
          <w:sz w:val="32"/>
          <w:szCs w:val="32"/>
        </w:rPr>
        <w:t>消耗的各种能源应按热值统一折算为标准煤。燃料的热值以企业在报告期内实测的燃料的平均低（位）发热量为准。固体燃料低（位）发热量按GB/T 213的规定测定，液体燃料低（位）发热量按GB/T 384的规定测定，若无条件实测或目前尚难进行常规分析的，可参照使用GB/T 2589-2020附录A规定的各种能源折标准煤系数折算为标准煤。常用耗能工质可参照使用GB/T 2589-2020附录B的规定。</w:t>
      </w:r>
    </w:p>
    <w:p w14:paraId="7AB3E4A8">
      <w:pPr>
        <w:widowControl/>
        <w:spacing w:line="420" w:lineRule="atLeast"/>
        <w:ind w:firstLine="640" w:firstLineChars="200"/>
        <w:rPr>
          <w:rFonts w:hint="eastAsia" w:ascii="方正仿宋简体" w:eastAsia="方正仿宋简体"/>
          <w:sz w:val="32"/>
          <w:szCs w:val="32"/>
        </w:rPr>
      </w:pPr>
      <w:r>
        <w:rPr>
          <w:rFonts w:hint="eastAsia" w:ascii="方正仿宋简体" w:eastAsia="方正仿宋简体"/>
          <w:sz w:val="32"/>
          <w:szCs w:val="32"/>
        </w:rPr>
        <w:t>6.能耗先进值</w:t>
      </w:r>
    </w:p>
    <w:p w14:paraId="6257F9BD">
      <w:pPr>
        <w:pStyle w:val="9"/>
        <w:ind w:firstLine="640"/>
        <w:rPr>
          <w:rFonts w:hint="eastAsia" w:ascii="方正仿宋简体" w:eastAsia="方正仿宋简体"/>
          <w:kern w:val="2"/>
          <w:sz w:val="32"/>
          <w:szCs w:val="32"/>
        </w:rPr>
      </w:pPr>
      <w:r>
        <w:rPr>
          <w:rFonts w:hint="eastAsia" w:ascii="方正仿宋简体" w:eastAsia="方正仿宋简体"/>
          <w:kern w:val="2"/>
          <w:sz w:val="32"/>
          <w:szCs w:val="32"/>
        </w:rPr>
        <w:t>各类产品和宾馆、商场的单位能耗先进值参见附录E。本次修订在2018版基础上删减了F.7炭黑、F.8纯碱、F.10涤纶纤维、F.11轮胎的先进值。</w:t>
      </w:r>
    </w:p>
    <w:p w14:paraId="6414B979">
      <w:pPr>
        <w:spacing w:line="560" w:lineRule="exact"/>
        <w:ind w:firstLine="640" w:firstLineChars="200"/>
        <w:rPr>
          <w:rFonts w:eastAsia="黑体"/>
          <w:sz w:val="32"/>
          <w:szCs w:val="32"/>
        </w:rPr>
      </w:pPr>
      <w:r>
        <w:rPr>
          <w:rFonts w:hint="eastAsia" w:eastAsia="黑体"/>
          <w:sz w:val="32"/>
          <w:szCs w:val="32"/>
        </w:rPr>
        <w:t>五、与相关法律法规和标准的关系</w:t>
      </w:r>
    </w:p>
    <w:p w14:paraId="0A1C53CB">
      <w:pPr>
        <w:tabs>
          <w:tab w:val="left" w:pos="4536"/>
        </w:tabs>
        <w:spacing w:line="360" w:lineRule="auto"/>
        <w:ind w:firstLine="640" w:firstLineChars="200"/>
        <w:rPr>
          <w:sz w:val="24"/>
        </w:rPr>
      </w:pPr>
      <w:r>
        <w:rPr>
          <w:rFonts w:hint="eastAsia" w:eastAsia="方正仿宋简体"/>
          <w:sz w:val="32"/>
          <w:szCs w:val="32"/>
        </w:rPr>
        <w:t>本标准是依照《中华人民共和国标准化法》制定的江苏地方标准，既是国家能耗限额标准在江苏的配套与延伸，又体现了江苏省的产业分布特点，与《中华人民共和国节约能源法》《江苏省节约能源条例》等法律法规协调一致，没有冲突。</w:t>
      </w:r>
    </w:p>
    <w:p w14:paraId="7BC73762">
      <w:pPr>
        <w:spacing w:line="560" w:lineRule="exact"/>
        <w:ind w:firstLine="640" w:firstLineChars="200"/>
        <w:rPr>
          <w:rFonts w:eastAsia="黑体"/>
          <w:sz w:val="32"/>
          <w:szCs w:val="32"/>
        </w:rPr>
      </w:pPr>
      <w:r>
        <w:rPr>
          <w:rFonts w:hint="eastAsia" w:eastAsia="黑体"/>
          <w:sz w:val="32"/>
          <w:szCs w:val="32"/>
        </w:rPr>
        <w:t>六、重大分歧意见处理</w:t>
      </w:r>
    </w:p>
    <w:p w14:paraId="24A4A3FD">
      <w:pPr>
        <w:widowControl/>
        <w:spacing w:line="420" w:lineRule="atLeast"/>
        <w:ind w:firstLine="640" w:firstLineChars="200"/>
        <w:rPr>
          <w:rFonts w:eastAsia="方正仿宋简体"/>
          <w:sz w:val="32"/>
          <w:szCs w:val="32"/>
        </w:rPr>
      </w:pPr>
      <w:r>
        <w:rPr>
          <w:rFonts w:eastAsia="方正仿宋简体"/>
          <w:sz w:val="32"/>
          <w:szCs w:val="32"/>
        </w:rPr>
        <w:t>无重大分歧和意见。</w:t>
      </w:r>
    </w:p>
    <w:p w14:paraId="5B33DE46">
      <w:pPr>
        <w:spacing w:line="560" w:lineRule="exact"/>
        <w:ind w:firstLine="640" w:firstLineChars="200"/>
        <w:rPr>
          <w:rFonts w:eastAsia="黑体"/>
          <w:sz w:val="32"/>
          <w:szCs w:val="32"/>
        </w:rPr>
      </w:pPr>
      <w:r>
        <w:rPr>
          <w:rFonts w:eastAsia="黑体"/>
          <w:sz w:val="32"/>
          <w:szCs w:val="32"/>
        </w:rPr>
        <w:t>七、</w:t>
      </w:r>
      <w:r>
        <w:rPr>
          <w:rFonts w:hint="eastAsia" w:eastAsia="黑体"/>
          <w:sz w:val="32"/>
          <w:szCs w:val="32"/>
        </w:rPr>
        <w:t>推广实施</w:t>
      </w:r>
      <w:r>
        <w:rPr>
          <w:rFonts w:eastAsia="黑体"/>
          <w:sz w:val="32"/>
          <w:szCs w:val="32"/>
        </w:rPr>
        <w:t>建议</w:t>
      </w:r>
    </w:p>
    <w:p w14:paraId="6FE31A90">
      <w:pPr>
        <w:widowControl/>
        <w:spacing w:line="420" w:lineRule="atLeast"/>
        <w:ind w:firstLine="640" w:firstLineChars="200"/>
        <w:rPr>
          <w:rFonts w:eastAsia="方正仿宋简体"/>
          <w:sz w:val="32"/>
          <w:szCs w:val="32"/>
        </w:rPr>
      </w:pPr>
      <w:r>
        <w:rPr>
          <w:rFonts w:eastAsia="方正仿宋简体"/>
          <w:sz w:val="32"/>
          <w:szCs w:val="32"/>
        </w:rPr>
        <w:t>本标准为省级地方标准。该标准发布、实施后，建议通过集中培训、专题解读等方式对</w:t>
      </w:r>
      <w:r>
        <w:rPr>
          <w:rFonts w:hint="eastAsia" w:eastAsia="方正仿宋简体"/>
          <w:sz w:val="32"/>
          <w:szCs w:val="32"/>
        </w:rPr>
        <w:t>相关企业的能源管理人员、节能监察执法人员、项目建设能效水平把控等相关人员进行能耗统计和计算等内容的培训，</w:t>
      </w:r>
      <w:r>
        <w:rPr>
          <w:rFonts w:eastAsia="方正仿宋简体"/>
          <w:sz w:val="32"/>
          <w:szCs w:val="32"/>
        </w:rPr>
        <w:t>使其了解标准、熟悉标准</w:t>
      </w:r>
      <w:r>
        <w:rPr>
          <w:rFonts w:hint="eastAsia" w:eastAsia="方正仿宋简体"/>
          <w:sz w:val="32"/>
          <w:szCs w:val="32"/>
        </w:rPr>
        <w:t>，推动标准在行业内推广、应用，并</w:t>
      </w:r>
      <w:r>
        <w:rPr>
          <w:rFonts w:eastAsia="方正仿宋简体"/>
          <w:sz w:val="32"/>
          <w:szCs w:val="32"/>
        </w:rPr>
        <w:t>对实施过程中存在的问题进行协调处理。</w:t>
      </w:r>
    </w:p>
    <w:p w14:paraId="767EFF2B">
      <w:pPr>
        <w:spacing w:line="560" w:lineRule="exact"/>
        <w:ind w:firstLine="640" w:firstLineChars="200"/>
        <w:rPr>
          <w:rFonts w:eastAsia="黑体"/>
          <w:sz w:val="32"/>
          <w:szCs w:val="32"/>
        </w:rPr>
      </w:pPr>
      <w:r>
        <w:rPr>
          <w:rFonts w:hint="eastAsia" w:eastAsia="黑体"/>
          <w:sz w:val="32"/>
          <w:szCs w:val="32"/>
        </w:rPr>
        <w:t>八、起草单位与起草人员信息及分工</w:t>
      </w:r>
    </w:p>
    <w:p w14:paraId="01101461">
      <w:pPr>
        <w:widowControl/>
        <w:spacing w:line="420" w:lineRule="atLeast"/>
        <w:ind w:firstLine="640" w:firstLineChars="200"/>
        <w:rPr>
          <w:rFonts w:hint="eastAsia" w:ascii="方正仿宋简体" w:eastAsia="方正仿宋简体"/>
          <w:sz w:val="32"/>
          <w:szCs w:val="32"/>
        </w:rPr>
      </w:pPr>
      <w:r>
        <w:rPr>
          <w:rFonts w:hint="eastAsia" w:ascii="方正仿宋简体" w:eastAsia="方正仿宋简体"/>
          <w:sz w:val="32"/>
          <w:szCs w:val="32"/>
        </w:rPr>
        <w:t>本标准由南京市节能技术服务中心、江苏省质量和标准化研究院、无锡市节能监察支队、南京市节能监察中心、苏州市节能监察中心、常州市</w:t>
      </w:r>
      <w:r>
        <w:rPr>
          <w:rFonts w:hint="eastAsia" w:ascii="方正仿宋简体" w:eastAsia="方正仿宋简体"/>
          <w:sz w:val="32"/>
          <w:szCs w:val="32"/>
          <w:lang w:eastAsia="zh-CN"/>
        </w:rPr>
        <w:t>产业发展促进中心</w:t>
      </w:r>
      <w:r>
        <w:rPr>
          <w:rFonts w:hint="eastAsia" w:ascii="方正仿宋简体" w:eastAsia="方正仿宋简体"/>
          <w:sz w:val="32"/>
          <w:szCs w:val="32"/>
        </w:rPr>
        <w:t>、扬州市节能管理服务中心、江苏省能源研究会共同参与修订。南京市节能技术服务中心作为牵头单位，负责项目指导，统筹协调以及会议组织、征求意见、标准主要内容修订等工作，无锡市节能监察支队、苏州市节能监察中心、扬州市节能管理服务中心负责标准中相关内容及指标的修订，江苏省质量和标准化研究院负责标准文本合规性，南京市节能监察中心、苏州市节能监察中心负</w:t>
      </w:r>
      <w:bookmarkStart w:id="0" w:name="_GoBack"/>
      <w:bookmarkEnd w:id="0"/>
      <w:r>
        <w:rPr>
          <w:rFonts w:hint="eastAsia" w:ascii="方正仿宋简体" w:eastAsia="方正仿宋简体"/>
          <w:sz w:val="32"/>
          <w:szCs w:val="32"/>
        </w:rPr>
        <w:t>责对标准修订涉及到的相关内容进行核实确认工作等。</w:t>
      </w:r>
    </w:p>
    <w:p w14:paraId="60EA752C">
      <w:pPr>
        <w:widowControl/>
        <w:spacing w:line="420" w:lineRule="atLeast"/>
        <w:ind w:firstLine="640" w:firstLineChars="200"/>
        <w:rPr>
          <w:rFonts w:hint="eastAsia" w:ascii="方正仿宋简体" w:eastAsia="方正仿宋简体"/>
        </w:rPr>
      </w:pPr>
      <w:r>
        <w:rPr>
          <w:rFonts w:hint="eastAsia" w:ascii="方正仿宋简体" w:eastAsia="方正仿宋简体"/>
          <w:sz w:val="32"/>
          <w:szCs w:val="32"/>
        </w:rPr>
        <w:t>本标准修订人员主要工作见表1。</w:t>
      </w:r>
    </w:p>
    <w:p w14:paraId="1D9E1212">
      <w:pPr>
        <w:spacing w:line="580" w:lineRule="exact"/>
        <w:jc w:val="center"/>
        <w:rPr>
          <w:rFonts w:ascii="方正仿宋简体" w:eastAsia="方正仿宋简体"/>
          <w:sz w:val="32"/>
          <w:szCs w:val="32"/>
        </w:rPr>
      </w:pPr>
      <w:r>
        <w:rPr>
          <w:rFonts w:hint="eastAsia" w:ascii="方正仿宋简体" w:eastAsia="方正仿宋简体"/>
          <w:sz w:val="32"/>
          <w:szCs w:val="32"/>
        </w:rPr>
        <w:t>表1 标准主要起草人员及工作</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9"/>
        <w:gridCol w:w="1128"/>
        <w:gridCol w:w="2746"/>
        <w:gridCol w:w="2033"/>
        <w:gridCol w:w="2146"/>
      </w:tblGrid>
      <w:tr w14:paraId="73152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275" w:type="pct"/>
            <w:vAlign w:val="center"/>
          </w:tcPr>
          <w:p w14:paraId="54280FDC">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序号</w:t>
            </w:r>
          </w:p>
        </w:tc>
        <w:tc>
          <w:tcPr>
            <w:tcW w:w="662" w:type="pct"/>
            <w:vAlign w:val="center"/>
          </w:tcPr>
          <w:p w14:paraId="1FF5442A">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姓名</w:t>
            </w:r>
          </w:p>
        </w:tc>
        <w:tc>
          <w:tcPr>
            <w:tcW w:w="1611" w:type="pct"/>
            <w:vAlign w:val="center"/>
          </w:tcPr>
          <w:p w14:paraId="1F44BF8C">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单位名称</w:t>
            </w:r>
          </w:p>
        </w:tc>
        <w:tc>
          <w:tcPr>
            <w:tcW w:w="1193" w:type="pct"/>
            <w:vAlign w:val="center"/>
          </w:tcPr>
          <w:p w14:paraId="2B7531DB">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职务/职称</w:t>
            </w:r>
          </w:p>
        </w:tc>
        <w:tc>
          <w:tcPr>
            <w:tcW w:w="1259" w:type="pct"/>
            <w:vAlign w:val="center"/>
          </w:tcPr>
          <w:p w14:paraId="4A0669C9">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项目分工</w:t>
            </w:r>
          </w:p>
        </w:tc>
      </w:tr>
      <w:tr w14:paraId="54F35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5" w:type="pct"/>
            <w:vAlign w:val="center"/>
          </w:tcPr>
          <w:p w14:paraId="0E43BA49">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1</w:t>
            </w:r>
          </w:p>
        </w:tc>
        <w:tc>
          <w:tcPr>
            <w:tcW w:w="662" w:type="pct"/>
            <w:vAlign w:val="center"/>
          </w:tcPr>
          <w:p w14:paraId="574E2E34">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杨迪芳</w:t>
            </w:r>
          </w:p>
        </w:tc>
        <w:tc>
          <w:tcPr>
            <w:tcW w:w="1611" w:type="pct"/>
            <w:vAlign w:val="center"/>
          </w:tcPr>
          <w:p w14:paraId="6D4F56C2">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南京市节能技术服务中心</w:t>
            </w:r>
          </w:p>
        </w:tc>
        <w:tc>
          <w:tcPr>
            <w:tcW w:w="1193" w:type="pct"/>
            <w:vAlign w:val="center"/>
          </w:tcPr>
          <w:p w14:paraId="17C03076">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部长/高级工程师</w:t>
            </w:r>
          </w:p>
        </w:tc>
        <w:tc>
          <w:tcPr>
            <w:tcW w:w="1259" w:type="pct"/>
            <w:vAlign w:val="center"/>
          </w:tcPr>
          <w:p w14:paraId="430FEC91">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项目统筹、技术指导</w:t>
            </w:r>
          </w:p>
        </w:tc>
      </w:tr>
      <w:tr w14:paraId="23061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275" w:type="pct"/>
            <w:vAlign w:val="center"/>
          </w:tcPr>
          <w:p w14:paraId="177871B4">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2</w:t>
            </w:r>
          </w:p>
        </w:tc>
        <w:tc>
          <w:tcPr>
            <w:tcW w:w="662" w:type="pct"/>
            <w:vAlign w:val="center"/>
          </w:tcPr>
          <w:p w14:paraId="02AEBE4B">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马武忠</w:t>
            </w:r>
          </w:p>
        </w:tc>
        <w:tc>
          <w:tcPr>
            <w:tcW w:w="1611" w:type="pct"/>
            <w:vAlign w:val="center"/>
          </w:tcPr>
          <w:p w14:paraId="04C6E3B2">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南京市节能技术服务中心</w:t>
            </w:r>
          </w:p>
        </w:tc>
        <w:tc>
          <w:tcPr>
            <w:tcW w:w="1193" w:type="pct"/>
            <w:vAlign w:val="center"/>
          </w:tcPr>
          <w:p w14:paraId="5D19C9BB">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主任/研究院级高级工程师</w:t>
            </w:r>
          </w:p>
        </w:tc>
        <w:tc>
          <w:tcPr>
            <w:tcW w:w="1259" w:type="pct"/>
            <w:vAlign w:val="center"/>
          </w:tcPr>
          <w:p w14:paraId="415CDFE5">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项目指导、技术指导</w:t>
            </w:r>
          </w:p>
        </w:tc>
      </w:tr>
      <w:tr w14:paraId="03A36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275" w:type="pct"/>
            <w:vAlign w:val="center"/>
          </w:tcPr>
          <w:p w14:paraId="3CB99641">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3</w:t>
            </w:r>
          </w:p>
        </w:tc>
        <w:tc>
          <w:tcPr>
            <w:tcW w:w="662" w:type="pct"/>
            <w:vAlign w:val="center"/>
          </w:tcPr>
          <w:p w14:paraId="36C6148E">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陈银龙</w:t>
            </w:r>
          </w:p>
        </w:tc>
        <w:tc>
          <w:tcPr>
            <w:tcW w:w="1611" w:type="pct"/>
            <w:vAlign w:val="center"/>
          </w:tcPr>
          <w:p w14:paraId="680F565D">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江苏省质量和标准化研究院</w:t>
            </w:r>
          </w:p>
        </w:tc>
        <w:tc>
          <w:tcPr>
            <w:tcW w:w="1193" w:type="pct"/>
            <w:vAlign w:val="center"/>
          </w:tcPr>
          <w:p w14:paraId="2F711244">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正高级工程师</w:t>
            </w:r>
          </w:p>
        </w:tc>
        <w:tc>
          <w:tcPr>
            <w:tcW w:w="1259" w:type="pct"/>
            <w:vAlign w:val="center"/>
          </w:tcPr>
          <w:p w14:paraId="1FD6846F">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技术指导</w:t>
            </w:r>
          </w:p>
        </w:tc>
      </w:tr>
      <w:tr w14:paraId="2CB70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275" w:type="pct"/>
            <w:vAlign w:val="center"/>
          </w:tcPr>
          <w:p w14:paraId="2E8BDE85">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4</w:t>
            </w:r>
          </w:p>
        </w:tc>
        <w:tc>
          <w:tcPr>
            <w:tcW w:w="662" w:type="pct"/>
            <w:vAlign w:val="center"/>
          </w:tcPr>
          <w:p w14:paraId="46E45EB8">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吴春华</w:t>
            </w:r>
          </w:p>
        </w:tc>
        <w:tc>
          <w:tcPr>
            <w:tcW w:w="1611" w:type="pct"/>
            <w:vAlign w:val="center"/>
          </w:tcPr>
          <w:p w14:paraId="4212A0D8">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南京市节能技术服务中心</w:t>
            </w:r>
          </w:p>
        </w:tc>
        <w:tc>
          <w:tcPr>
            <w:tcW w:w="1193" w:type="pct"/>
            <w:vAlign w:val="center"/>
          </w:tcPr>
          <w:p w14:paraId="5FB15CCD">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高级工程师</w:t>
            </w:r>
          </w:p>
        </w:tc>
        <w:tc>
          <w:tcPr>
            <w:tcW w:w="1259" w:type="pct"/>
            <w:vAlign w:val="center"/>
          </w:tcPr>
          <w:p w14:paraId="3242189D">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项目统筹、工作执行</w:t>
            </w:r>
          </w:p>
        </w:tc>
      </w:tr>
      <w:tr w14:paraId="3952D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75" w:type="pct"/>
            <w:vAlign w:val="center"/>
          </w:tcPr>
          <w:p w14:paraId="04A17950">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5</w:t>
            </w:r>
          </w:p>
        </w:tc>
        <w:tc>
          <w:tcPr>
            <w:tcW w:w="662" w:type="pct"/>
            <w:vAlign w:val="center"/>
          </w:tcPr>
          <w:p w14:paraId="41B7AA55">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赵政</w:t>
            </w:r>
          </w:p>
        </w:tc>
        <w:tc>
          <w:tcPr>
            <w:tcW w:w="1611" w:type="pct"/>
            <w:vAlign w:val="center"/>
          </w:tcPr>
          <w:p w14:paraId="3E0E6887">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无锡市节能监察支队</w:t>
            </w:r>
          </w:p>
        </w:tc>
        <w:tc>
          <w:tcPr>
            <w:tcW w:w="1193" w:type="pct"/>
            <w:vAlign w:val="center"/>
          </w:tcPr>
          <w:p w14:paraId="49CCE13A">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副支队长/高级工程师</w:t>
            </w:r>
          </w:p>
        </w:tc>
        <w:tc>
          <w:tcPr>
            <w:tcW w:w="1259" w:type="pct"/>
            <w:vAlign w:val="center"/>
          </w:tcPr>
          <w:p w14:paraId="53E95446">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项目指导、业务指导</w:t>
            </w:r>
          </w:p>
        </w:tc>
      </w:tr>
      <w:tr w14:paraId="5FDE6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275" w:type="pct"/>
            <w:vAlign w:val="center"/>
          </w:tcPr>
          <w:p w14:paraId="394E47C6">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6</w:t>
            </w:r>
          </w:p>
        </w:tc>
        <w:tc>
          <w:tcPr>
            <w:tcW w:w="662" w:type="pct"/>
            <w:vAlign w:val="center"/>
          </w:tcPr>
          <w:p w14:paraId="0B245C9C">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郭峰</w:t>
            </w:r>
          </w:p>
        </w:tc>
        <w:tc>
          <w:tcPr>
            <w:tcW w:w="1611" w:type="pct"/>
            <w:vAlign w:val="center"/>
          </w:tcPr>
          <w:p w14:paraId="0D0192CF">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苏州市节能监察中心</w:t>
            </w:r>
          </w:p>
        </w:tc>
        <w:tc>
          <w:tcPr>
            <w:tcW w:w="1193" w:type="pct"/>
            <w:vAlign w:val="center"/>
          </w:tcPr>
          <w:p w14:paraId="1069C347">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部长/高级工程师</w:t>
            </w:r>
          </w:p>
        </w:tc>
        <w:tc>
          <w:tcPr>
            <w:tcW w:w="1259" w:type="pct"/>
            <w:vAlign w:val="center"/>
          </w:tcPr>
          <w:p w14:paraId="4475377C">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项目指导、业务指导</w:t>
            </w:r>
          </w:p>
        </w:tc>
      </w:tr>
      <w:tr w14:paraId="6428A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275" w:type="pct"/>
            <w:vAlign w:val="center"/>
          </w:tcPr>
          <w:p w14:paraId="734EB299">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7</w:t>
            </w:r>
          </w:p>
        </w:tc>
        <w:tc>
          <w:tcPr>
            <w:tcW w:w="662" w:type="pct"/>
            <w:vAlign w:val="center"/>
          </w:tcPr>
          <w:p w14:paraId="2D2693E4">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朱俊明</w:t>
            </w:r>
          </w:p>
        </w:tc>
        <w:tc>
          <w:tcPr>
            <w:tcW w:w="1611" w:type="pct"/>
            <w:vAlign w:val="center"/>
          </w:tcPr>
          <w:p w14:paraId="3C04527E">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扬州市节能管理服务中心</w:t>
            </w:r>
          </w:p>
        </w:tc>
        <w:tc>
          <w:tcPr>
            <w:tcW w:w="1193" w:type="pct"/>
            <w:vAlign w:val="center"/>
          </w:tcPr>
          <w:p w14:paraId="0CDD7C40">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主任/高级工程师</w:t>
            </w:r>
          </w:p>
        </w:tc>
        <w:tc>
          <w:tcPr>
            <w:tcW w:w="1259" w:type="pct"/>
            <w:vAlign w:val="center"/>
          </w:tcPr>
          <w:p w14:paraId="27F459E0">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项目指导、业务指导</w:t>
            </w:r>
          </w:p>
        </w:tc>
      </w:tr>
      <w:tr w14:paraId="7F510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275" w:type="pct"/>
            <w:vAlign w:val="center"/>
          </w:tcPr>
          <w:p w14:paraId="07075653">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8</w:t>
            </w:r>
          </w:p>
        </w:tc>
        <w:tc>
          <w:tcPr>
            <w:tcW w:w="662" w:type="pct"/>
            <w:vAlign w:val="center"/>
          </w:tcPr>
          <w:p w14:paraId="3F8765C0">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刘广莉</w:t>
            </w:r>
          </w:p>
        </w:tc>
        <w:tc>
          <w:tcPr>
            <w:tcW w:w="1611" w:type="pct"/>
            <w:vAlign w:val="center"/>
          </w:tcPr>
          <w:p w14:paraId="4857480C">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南京市节能技术服务中心</w:t>
            </w:r>
          </w:p>
        </w:tc>
        <w:tc>
          <w:tcPr>
            <w:tcW w:w="1193" w:type="pct"/>
            <w:vAlign w:val="center"/>
          </w:tcPr>
          <w:p w14:paraId="5773D145">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高级工程师</w:t>
            </w:r>
          </w:p>
        </w:tc>
        <w:tc>
          <w:tcPr>
            <w:tcW w:w="1259" w:type="pct"/>
            <w:vAlign w:val="center"/>
          </w:tcPr>
          <w:p w14:paraId="113026E6">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项目指导、业务指导</w:t>
            </w:r>
          </w:p>
        </w:tc>
      </w:tr>
      <w:tr w14:paraId="6E171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275" w:type="pct"/>
            <w:vAlign w:val="center"/>
          </w:tcPr>
          <w:p w14:paraId="63C9F2E8">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9</w:t>
            </w:r>
          </w:p>
        </w:tc>
        <w:tc>
          <w:tcPr>
            <w:tcW w:w="662" w:type="pct"/>
            <w:vAlign w:val="center"/>
          </w:tcPr>
          <w:p w14:paraId="5578A98A">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徐昊</w:t>
            </w:r>
            <w:r>
              <w:rPr>
                <w:rFonts w:hint="eastAsia" w:ascii="宋体" w:hAnsi="宋体" w:cs="宋体"/>
                <w:bCs/>
                <w:sz w:val="24"/>
              </w:rPr>
              <w:t>玥</w:t>
            </w:r>
          </w:p>
        </w:tc>
        <w:tc>
          <w:tcPr>
            <w:tcW w:w="1611" w:type="pct"/>
            <w:vAlign w:val="center"/>
          </w:tcPr>
          <w:p w14:paraId="110CE542">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江苏省质量和标准化研究院</w:t>
            </w:r>
          </w:p>
        </w:tc>
        <w:tc>
          <w:tcPr>
            <w:tcW w:w="1193" w:type="pct"/>
            <w:vAlign w:val="center"/>
          </w:tcPr>
          <w:p w14:paraId="36C3CB73">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高级工程师</w:t>
            </w:r>
          </w:p>
        </w:tc>
        <w:tc>
          <w:tcPr>
            <w:tcW w:w="1259" w:type="pct"/>
            <w:vAlign w:val="center"/>
          </w:tcPr>
          <w:p w14:paraId="1060D6A5">
            <w:pPr>
              <w:widowControl/>
              <w:spacing w:line="400" w:lineRule="exact"/>
              <w:jc w:val="center"/>
              <w:rPr>
                <w:rFonts w:hint="eastAsia" w:ascii="方正仿宋简体" w:hAnsi="宋体" w:eastAsia="方正仿宋简体" w:cs="宋体"/>
                <w:bCs/>
                <w:sz w:val="24"/>
              </w:rPr>
            </w:pPr>
            <w:r>
              <w:rPr>
                <w:rFonts w:hint="eastAsia" w:ascii="方正仿宋简体" w:hAnsi="宋体" w:eastAsia="方正仿宋简体" w:cs="宋体"/>
                <w:bCs/>
                <w:sz w:val="24"/>
              </w:rPr>
              <w:t>技术指导、业务指导</w:t>
            </w:r>
          </w:p>
        </w:tc>
      </w:tr>
    </w:tbl>
    <w:p w14:paraId="08234DFB">
      <w:pPr>
        <w:spacing w:line="360" w:lineRule="auto"/>
        <w:ind w:firstLine="480" w:firstLineChars="200"/>
        <w:rPr>
          <w:sz w:val="24"/>
        </w:rPr>
      </w:pPr>
    </w:p>
    <w:p w14:paraId="4D734829">
      <w:pPr>
        <w:jc w:val="right"/>
        <w:rPr>
          <w:rFonts w:ascii="方正仿宋简体" w:eastAsia="方正仿宋简体"/>
          <w:sz w:val="32"/>
          <w:szCs w:val="32"/>
        </w:rPr>
      </w:pPr>
    </w:p>
    <w:p w14:paraId="5AA42CA7">
      <w:pPr>
        <w:jc w:val="right"/>
        <w:rPr>
          <w:rFonts w:ascii="方正仿宋简体" w:eastAsia="方正仿宋简体"/>
          <w:sz w:val="32"/>
          <w:szCs w:val="32"/>
        </w:rPr>
      </w:pPr>
      <w:r>
        <w:rPr>
          <w:rFonts w:hint="eastAsia" w:ascii="方正仿宋简体" w:eastAsia="方正仿宋简体"/>
          <w:sz w:val="32"/>
          <w:szCs w:val="32"/>
        </w:rPr>
        <w:t>《单位能耗限额统计范围和计算方法》编制组</w:t>
      </w:r>
    </w:p>
    <w:p w14:paraId="139963D9">
      <w:pPr>
        <w:rPr>
          <w:rFonts w:ascii="方正仿宋简体" w:eastAsia="方正仿宋简体"/>
          <w:sz w:val="32"/>
          <w:szCs w:val="32"/>
        </w:rPr>
      </w:pPr>
      <w:r>
        <w:rPr>
          <w:rFonts w:hint="eastAsia" w:ascii="方正仿宋简体" w:eastAsia="方正仿宋简体"/>
          <w:kern w:val="0"/>
          <w:sz w:val="32"/>
          <w:szCs w:val="32"/>
        </w:rPr>
        <w:t xml:space="preserve">                                         2024年8月</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6DCCE">
    <w:pPr>
      <w:pStyle w:val="3"/>
      <w:wordWrap w:val="0"/>
      <w:rPr>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00856">
    <w:pPr>
      <w:pStyle w:val="3"/>
      <w:ind w:right="360" w:firstLine="180" w:firstLineChars="1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E6FD8">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3NTdhN2RlYWZiM2JkYWE0ZjRjMzE2MzM4YTg2YjMifQ=="/>
  </w:docVars>
  <w:rsids>
    <w:rsidRoot w:val="0075301C"/>
    <w:rsid w:val="000A13CC"/>
    <w:rsid w:val="0016434D"/>
    <w:rsid w:val="00483831"/>
    <w:rsid w:val="004A0E09"/>
    <w:rsid w:val="004B1500"/>
    <w:rsid w:val="0054444C"/>
    <w:rsid w:val="00620F22"/>
    <w:rsid w:val="007001F3"/>
    <w:rsid w:val="0075301C"/>
    <w:rsid w:val="00781DCD"/>
    <w:rsid w:val="0082303F"/>
    <w:rsid w:val="00B76237"/>
    <w:rsid w:val="00C70D86"/>
    <w:rsid w:val="00CD3EEF"/>
    <w:rsid w:val="00F27BC6"/>
    <w:rsid w:val="2A6E6043"/>
    <w:rsid w:val="33B62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14:ligatures w14:val="none"/>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Normal Indent"/>
    <w:basedOn w:val="1"/>
    <w:next w:val="1"/>
    <w:qFormat/>
    <w:uiPriority w:val="0"/>
    <w:pPr>
      <w:adjustRightInd w:val="0"/>
      <w:jc w:val="left"/>
    </w:pPr>
    <w:rPr>
      <w:spacing w:val="-25"/>
    </w:rPr>
  </w:style>
  <w:style w:type="paragraph" w:styleId="3">
    <w:name w:val="footer"/>
    <w:basedOn w:val="1"/>
    <w:link w:val="7"/>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脚 字符"/>
    <w:basedOn w:val="6"/>
    <w:link w:val="3"/>
    <w:qFormat/>
    <w:uiPriority w:val="0"/>
    <w:rPr>
      <w:rFonts w:ascii="Times New Roman" w:hAnsi="Times New Roman" w:eastAsia="宋体" w:cs="Times New Roman"/>
      <w:sz w:val="18"/>
      <w:szCs w:val="18"/>
      <w14:ligatures w14:val="none"/>
    </w:rPr>
  </w:style>
  <w:style w:type="character" w:customStyle="1" w:styleId="8">
    <w:name w:val="页眉 字符"/>
    <w:basedOn w:val="6"/>
    <w:link w:val="4"/>
    <w:qFormat/>
    <w:uiPriority w:val="0"/>
    <w:rPr>
      <w:rFonts w:ascii="Times New Roman" w:hAnsi="Times New Roman" w:eastAsia="宋体" w:cs="Times New Roman"/>
      <w:sz w:val="18"/>
      <w:szCs w:val="18"/>
      <w14:ligatures w14:val="none"/>
    </w:rPr>
  </w:style>
  <w:style w:type="paragraph" w:customStyle="1" w:styleId="9">
    <w:name w:val="标准文件_段"/>
    <w:qFormat/>
    <w:uiPriority w:val="0"/>
    <w:pPr>
      <w:autoSpaceDE w:val="0"/>
      <w:autoSpaceDN w:val="0"/>
      <w:spacing w:after="0" w:line="240" w:lineRule="auto"/>
      <w:ind w:firstLine="200" w:firstLineChars="200"/>
      <w:jc w:val="both"/>
    </w:pPr>
    <w:rPr>
      <w:rFonts w:ascii="宋体" w:hAnsi="Times New Roman" w:eastAsia="宋体" w:cs="Times New Roman"/>
      <w:kern w:val="0"/>
      <w:sz w:val="21"/>
      <w:szCs w:val="20"/>
      <w:lang w:val="en-US" w:eastAsia="zh-CN" w:bidi="ar-SA"/>
      <w14:ligatures w14: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4518</Words>
  <Characters>5066</Characters>
  <Lines>39</Lines>
  <Paragraphs>11</Paragraphs>
  <TotalTime>0</TotalTime>
  <ScaleCrop>false</ScaleCrop>
  <LinksUpToDate>false</LinksUpToDate>
  <CharactersWithSpaces>5145</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2024-08-30T08:54:00Z</dcterms:created>
  <dc:creator>Administrator</dc:creator>
  <cp:lastModifiedBy>我</cp:lastModifiedBy>
  <dcterms:modified xsi:type="dcterms:W3CDTF">2024-09-12T02:52:58Z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CDAC6E92FE9247E8987859A4904A5675_12</vt:lpwstr>
  </property>
</Properties>
</file>